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ascii="Times New Roman" w:hAnsi="Times New Roman" w:eastAsia="黑体"/>
          <w:color w:val="000000"/>
          <w:szCs w:val="40"/>
        </w:rPr>
      </w:pPr>
      <w:r>
        <w:rPr>
          <w:rFonts w:ascii="Times New Roman" w:hAnsi="Times New Roman" w:eastAsia="黑体"/>
          <w:color w:val="000000"/>
          <w:szCs w:val="40"/>
        </w:rPr>
        <w:t>附件1</w:t>
      </w:r>
    </w:p>
    <w:p>
      <w:pPr>
        <w:adjustRightInd w:val="0"/>
        <w:snapToGrid w:val="0"/>
        <w:spacing w:line="408" w:lineRule="auto"/>
        <w:ind w:firstLine="0" w:firstLineChars="0"/>
        <w:jc w:val="left"/>
        <w:rPr>
          <w:rFonts w:ascii="Times New Roman" w:hAnsi="Times New Roman" w:eastAsia="黑体"/>
          <w:color w:val="000000"/>
          <w:szCs w:val="40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长治市潞城区2021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—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2022年秋冬季空气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质量改善目标</w:t>
      </w:r>
    </w:p>
    <w:p>
      <w:pPr>
        <w:adjustRightInd w:val="0"/>
        <w:snapToGrid w:val="0"/>
        <w:spacing w:beforeLines="80" w:line="240" w:lineRule="auto"/>
        <w:ind w:firstLine="0" w:firstLineChars="0"/>
        <w:jc w:val="center"/>
        <w:rPr>
          <w:rFonts w:ascii="Times New Roman" w:hAnsi="Times New Roman" w:eastAsia="楷体"/>
          <w:color w:val="000000"/>
          <w:szCs w:val="32"/>
        </w:rPr>
      </w:pPr>
      <w:r>
        <w:rPr>
          <w:rFonts w:ascii="Times New Roman" w:hAnsi="Times New Roman" w:eastAsia="楷体"/>
          <w:color w:val="000000"/>
          <w:szCs w:val="32"/>
        </w:rPr>
        <w:t>（2021年10月1日</w:t>
      </w:r>
      <w:r>
        <w:rPr>
          <w:rFonts w:hint="eastAsia" w:ascii="Times New Roman" w:hAnsi="Times New Roman" w:eastAsia="楷体"/>
          <w:color w:val="000000"/>
          <w:szCs w:val="32"/>
        </w:rPr>
        <w:t>—</w:t>
      </w:r>
      <w:r>
        <w:rPr>
          <w:rFonts w:ascii="Times New Roman" w:hAnsi="Times New Roman" w:eastAsia="楷体"/>
          <w:color w:val="000000"/>
          <w:szCs w:val="32"/>
        </w:rPr>
        <w:t>2022年3月31日）</w:t>
      </w:r>
    </w:p>
    <w:p>
      <w:pPr>
        <w:adjustRightInd w:val="0"/>
        <w:snapToGrid w:val="0"/>
        <w:spacing w:line="300" w:lineRule="exact"/>
        <w:ind w:firstLine="0" w:firstLineChars="0"/>
        <w:jc w:val="left"/>
        <w:rPr>
          <w:rFonts w:ascii="Times New Roman" w:hAnsi="Times New Roman" w:eastAsia="黑体"/>
          <w:color w:val="000000"/>
          <w:szCs w:val="40"/>
        </w:rPr>
      </w:pPr>
    </w:p>
    <w:tbl>
      <w:tblPr>
        <w:tblW w:w="8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120"/>
        <w:gridCol w:w="3736"/>
      </w:tblGrid>
      <w:tr>
        <w:trPr>
          <w:trHeight w:val="1612" w:hRule="atLeast"/>
          <w:tblHeader/>
          <w:jc w:val="center"/>
        </w:trPr>
        <w:tc>
          <w:tcPr>
            <w:tcW w:w="1804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县 区</w:t>
            </w:r>
          </w:p>
        </w:tc>
        <w:tc>
          <w:tcPr>
            <w:tcW w:w="3120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  <w:vertAlign w:val="subscript"/>
              </w:rPr>
              <w:t>2.5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平均浓度</w:t>
            </w:r>
          </w:p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控制目标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（微克/立方米）</w:t>
            </w:r>
          </w:p>
        </w:tc>
        <w:tc>
          <w:tcPr>
            <w:tcW w:w="3736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重度及以上污染天数</w:t>
            </w:r>
          </w:p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控制目标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（天）</w:t>
            </w:r>
          </w:p>
        </w:tc>
      </w:tr>
      <w:tr>
        <w:trPr>
          <w:trHeight w:val="2029" w:hRule="atLeast"/>
          <w:jc w:val="center"/>
        </w:trPr>
        <w:tc>
          <w:tcPr>
            <w:tcW w:w="1804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潞城区</w:t>
            </w:r>
          </w:p>
        </w:tc>
        <w:tc>
          <w:tcPr>
            <w:tcW w:w="3120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36" w:type="dxa"/>
            <w:textDirection w:val="lrTb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3</w:t>
            </w:r>
          </w:p>
        </w:tc>
      </w:tr>
    </w:tbl>
    <w:p>
      <w:pPr>
        <w:ind w:firstLine="0" w:firstLineChars="0"/>
        <w:rPr>
          <w:rFonts w:ascii="Times New Roman" w:hAnsi="Times New Roman" w:eastAsia="黑体"/>
          <w:color w:val="000000"/>
        </w:rPr>
        <w:sectPr>
          <w:headerReference r:id="rId4" w:type="default"/>
          <w:footerReference r:id="rId5" w:type="default"/>
          <w:pgSz w:w="11906" w:h="16838"/>
          <w:pgMar w:top="2098" w:right="1644" w:bottom="1984" w:left="1644" w:header="0" w:footer="1871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rtlGutter w:val="0"/>
          <w:docGrid w:type="linesAndChars" w:linePitch="439" w:charSpace="2347"/>
        </w:sectPr>
      </w:pPr>
    </w:p>
    <w:p>
      <w:pPr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附件2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黑体"/>
          <w:color w:val="000000"/>
          <w:szCs w:val="32"/>
        </w:rPr>
      </w:pPr>
    </w:p>
    <w:p>
      <w:pPr>
        <w:widowControl/>
        <w:adjustRightInd w:val="0"/>
        <w:snapToGrid w:val="0"/>
        <w:spacing w:line="408" w:lineRule="auto"/>
        <w:ind w:firstLine="0" w:firstLineChars="0"/>
        <w:jc w:val="center"/>
        <w:rPr>
          <w:rFonts w:ascii="Times New Roman" w:hAnsi="Times New Roman" w:eastAsia="方正小标宋简体"/>
          <w:color w:val="000000"/>
          <w:sz w:val="38"/>
          <w:szCs w:val="38"/>
        </w:rPr>
      </w:pPr>
      <w:r>
        <w:rPr>
          <w:rFonts w:ascii="Times New Roman" w:hAnsi="Times New Roman" w:eastAsia="方正小标宋简体"/>
          <w:color w:val="000000"/>
          <w:sz w:val="38"/>
          <w:szCs w:val="38"/>
        </w:rPr>
        <w:t>长治市潞城区2021</w:t>
      </w:r>
      <w:r>
        <w:rPr>
          <w:rFonts w:hint="eastAsia" w:ascii="Times New Roman" w:hAnsi="Times New Roman" w:eastAsia="方正小标宋简体"/>
          <w:color w:val="000000"/>
          <w:sz w:val="38"/>
          <w:szCs w:val="38"/>
        </w:rPr>
        <w:t>—</w:t>
      </w:r>
      <w:r>
        <w:rPr>
          <w:rFonts w:ascii="Times New Roman" w:hAnsi="Times New Roman" w:eastAsia="方正小标宋简体"/>
          <w:color w:val="000000"/>
          <w:sz w:val="38"/>
          <w:szCs w:val="38"/>
        </w:rPr>
        <w:t>2022年秋冬季大气污染综合治理攻坚行动方案措施任务表</w:t>
      </w:r>
    </w:p>
    <w:tbl>
      <w:tblPr>
        <w:tblW w:w="142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82"/>
        <w:gridCol w:w="1148"/>
        <w:gridCol w:w="1137"/>
        <w:gridCol w:w="4930"/>
        <w:gridCol w:w="1247"/>
        <w:gridCol w:w="1119"/>
        <w:gridCol w:w="1553"/>
        <w:gridCol w:w="1513"/>
      </w:tblGrid>
      <w:tr>
        <w:trPr>
          <w:cantSplit/>
          <w:trHeight w:val="567" w:hRule="atLeast"/>
          <w:tblHeader/>
        </w:trPr>
        <w:tc>
          <w:tcPr>
            <w:tcW w:w="59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类  别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重点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工作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主要任务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完成时限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工  程  措  施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牵头单位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配合单位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责任单位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责任人</w:t>
            </w:r>
          </w:p>
        </w:tc>
      </w:tr>
      <w:tr>
        <w:trPr>
          <w:trHeight w:val="1117" w:hRule="atLeast"/>
        </w:trPr>
        <w:tc>
          <w:tcPr>
            <w:tcW w:w="597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产业结构调整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312"/>
              </w:tabs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ab/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文本框 3" o:spid="_x0000_s1028" type="#_x0000_t202" style="position:absolute;left:0;margin-left:-8.05pt;margin-top:233.85pt;height:29.25pt;width:56.25pt;rotation:0f;z-index:251659264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产业结构调整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“两高”行业产能控制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压减钢铁产量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完成19.6万吨的粗钢产量压减任务。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史回镇政府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史回镇镇长</w:t>
            </w:r>
          </w:p>
        </w:tc>
      </w:tr>
      <w:tr>
        <w:trPr>
          <w:trHeight w:val="1019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工业源污染治理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钢铁行业超低排放改造和评估监测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兴宝钢铁完成清洁运输改造，进出厂运输车辆全部采用国六或新能源车辆。完成兴宝钢铁超低排放改造评估监测在中钢协网站公示备案工作。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tabs>
                <w:tab w:val="left" w:pos="450"/>
              </w:tabs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史回镇政府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史回镇镇长</w:t>
            </w:r>
          </w:p>
        </w:tc>
      </w:tr>
      <w:tr>
        <w:trPr>
          <w:trHeight w:val="1505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水泥、独立焦化等行业深度治理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按国家、省定时限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卓越水泥、晋牌水泥、中宝建材3家水泥熟料企业完成深度治理，改造后颗粒物、二氧化硫、氮氧化物排放浓度分别不高于10、35、50毫克/立方米；潞宝晋钢兆丰完成深度治理。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史回镇政府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翟店街道办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微子镇政府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各相关乡镇长、街道办主任；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9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无组织排放治理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长期坚持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加强排查检查，确保全区工业企业无组织排放点位应治尽治，动态清零。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各乡镇长、街道办主任；经开区管委会主任</w:t>
            </w:r>
          </w:p>
        </w:tc>
      </w:tr>
      <w:tr>
        <w:trPr>
          <w:trHeight w:val="747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工业炉窑淘汰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燃煤工业炉窑淘汰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按国家、省定时限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淘汰燃煤加热炉3台。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翟店街道办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成家川街道办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bottom"/>
          </w:tcPr>
          <w:p>
            <w:pPr>
              <w:widowControl/>
              <w:wordWrap/>
              <w:adjustRightInd/>
              <w:snapToGrid/>
              <w:spacing w:line="1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文本框 3" o:spid="_x0000_s1029" type="#_x0000_t202" style="position:absolute;left:0;margin-left:16.3pt;margin-top:53.45pt;height:29.25pt;width:56.25pt;rotation:0f;z-index:251658240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各相关街道办主任</w:t>
            </w:r>
          </w:p>
        </w:tc>
      </w:tr>
      <w:tr>
        <w:trPr>
          <w:trHeight w:val="97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重点工业行业VOCs综合治理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工业涂装/包装印刷等源头替代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推进工业涂装企业完成低VOCs含量涂料替代；推进包装印刷企业完成低VOCs含量油墨替代；推进家具制造企业完成低VOCs含量胶粘剂替代。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各乡镇长、街道办主任；经开区管委会主任</w:t>
            </w:r>
          </w:p>
        </w:tc>
      </w:tr>
      <w:tr>
        <w:trPr>
          <w:trHeight w:val="829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VOCs产品质量监督检查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加强VOCs产品质量监督检查，对生产、销售、进口企业的涂料、油墨、胶粘剂、清洗剂VOCs含量限值开展抽测。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区市场监管局主要负责人</w:t>
            </w:r>
          </w:p>
        </w:tc>
      </w:tr>
      <w:tr>
        <w:trPr>
          <w:trHeight w:val="941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无组织排放控制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对化工、焦化、工业涂装等涉VOCs企业开展全覆盖排查检查，对检查发现的未完成VOCs无组织排放治理情形，要求企业立行立改。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各乡镇长、街道办主任；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841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重点工业行业VOCs综合治理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治污设施建设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对化工、焦化、工业涂装企业VOCs治理情况实施排查评估，对评估中发现的单一、低效VOCs治理设施建设或改造为适宜高效的治污设施。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各乡镇长、街道办主任；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783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储罐/装载废气综合治理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对焦化、化工企业的储罐按照要求进行排查，形成排查清单和治理台账。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成家川街道办经开区管委会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成家川街道主任；经开区管委会主任</w:t>
            </w:r>
          </w:p>
        </w:tc>
      </w:tr>
      <w:tr>
        <w:trPr>
          <w:trHeight w:val="583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LDAR工作抽检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对化工、焦化企业LDAR工作开展情况进行抽测和检查。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  <w:tr>
        <w:trPr>
          <w:trHeight w:val="639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工业园区和企业集群VOCs综合治理</w:t>
            </w:r>
          </w:p>
        </w:tc>
        <w:tc>
          <w:tcPr>
            <w:tcW w:w="1148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集中治理</w:t>
            </w:r>
          </w:p>
        </w:tc>
        <w:tc>
          <w:tcPr>
            <w:tcW w:w="1137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经开区推进实施泄漏检测统一监管，建设监测预警监控体系，开展溯源分析。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68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推进在经开区储罐罐区建设LDAR平台，并与生态环境部门联网。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634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在经开区等化工产业园区，推进实施恶臭电子鼻监控预警。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513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VOCs监测监控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自动监控设施安装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按国家、省定时限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潞宝晋钢兆丰主要排污口按要求安装非甲烷总烃自动监控设施。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1739" w:hRule="atLeast"/>
        </w:trPr>
        <w:tc>
          <w:tcPr>
            <w:tcW w:w="597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能源结构调整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清洁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取暖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散煤治理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按国家、省定时限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完成散煤治理14230户。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区发改局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区住建局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区农业农村局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各相关乡镇政府、街道办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各相关乡镇长、街道办主任</w:t>
            </w:r>
          </w:p>
        </w:tc>
      </w:tr>
      <w:tr>
        <w:trPr>
          <w:trHeight w:val="1034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煤炭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消费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总量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控制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煤炭消费总量控制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规上工业煤炭消费总量完成上级下达的目标任务。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区发改局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各相关乡镇政府、街道办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各相关乡镇长、街道办主任</w:t>
            </w:r>
          </w:p>
        </w:tc>
      </w:tr>
      <w:tr>
        <w:trPr>
          <w:trHeight w:val="594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控制农业用煤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对农业大棚热风炉、粮食、食用菌等燃煤烘干炉窑开展专项排查，发现一台，清理一台。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区农业农村局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各相关乡镇政府、街道办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各相关乡镇长、街道办主任</w:t>
            </w:r>
          </w:p>
        </w:tc>
      </w:tr>
      <w:tr>
        <w:trPr>
          <w:trHeight w:val="713" w:hRule="atLeast"/>
        </w:trPr>
        <w:tc>
          <w:tcPr>
            <w:tcW w:w="59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运输结构调整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运输结构调整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文本框 3" o:spid="_x0000_s1030" type="#_x0000_t202" style="position:absolute;left:0;margin-left:-6.55pt;margin-top:145.4pt;height:29.25pt;width:56.25pt;rotation:0f;z-index:251661312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shape>
              </w:pic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运输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结构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调整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煤炭企业清洁运输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全区煤炭行业清洁运输（铁路、管道、新能源或国六货车）比例达到上级部门下达的目标。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区工信局主要负责人</w:t>
            </w:r>
          </w:p>
        </w:tc>
      </w:tr>
      <w:tr>
        <w:trPr>
          <w:trHeight w:val="1054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exact"/>
              <w:ind w:firstLine="42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焦化企业原材料、产成品清洁运输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全区焦化行业清洁运输（铁路、管道、新能源或国六货车）比例达到上级部门下达的目标。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区工信局主要负责人</w:t>
            </w:r>
          </w:p>
        </w:tc>
      </w:tr>
      <w:tr>
        <w:trPr>
          <w:trHeight w:val="1146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exact"/>
              <w:ind w:firstLine="42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钢铁企业原材料、产成品清洁运输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全区钢铁行业清洁运输（铁路、管道、新能源或国六货车）比例达到上级部门下达的目标。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区工信局主要负责人</w:t>
            </w:r>
          </w:p>
        </w:tc>
      </w:tr>
      <w:tr>
        <w:trPr>
          <w:trHeight w:val="833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老旧车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淘汰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淘汰国三及以下营运性柴油货车130辆。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区交通运输局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区交通运输局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文本框 3" o:spid="_x0000_s1031" type="#_x0000_t202" style="position:absolute;left:0;margin-left:16.3pt;margin-top:58.65pt;height:29.25pt;width:56.25pt;rotation:0f;z-index:251660288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区交通运输局主要负责人</w:t>
            </w:r>
          </w:p>
        </w:tc>
      </w:tr>
      <w:tr>
        <w:trPr>
          <w:trHeight w:val="1188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车船燃油品质改善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打击黑加油站点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组织开展打击黑加油站点（车）专项行动100天，并对不达标油品跟踪溯源。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区市场监管局主要负责人</w:t>
            </w:r>
          </w:p>
        </w:tc>
      </w:tr>
      <w:tr>
        <w:trPr>
          <w:trHeight w:val="1176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油品和尿素质量抽查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在全区加油站（点）开展抽检车用汽柴油、尿素，实现年度全覆盖；在高速公路、国道、省道沿线加油站开展尿素抽检工作。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区市场监管局主要负责人</w:t>
            </w:r>
          </w:p>
        </w:tc>
      </w:tr>
      <w:tr>
        <w:trPr>
          <w:trHeight w:val="1294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在用车环境管理</w:t>
            </w:r>
          </w:p>
        </w:tc>
        <w:tc>
          <w:tcPr>
            <w:tcW w:w="1148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在用车执法监管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查验重型国六燃气车后处理装置情况</w:t>
            </w: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区公安分局交警大队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  <w:tr>
        <w:trPr>
          <w:trHeight w:val="97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检查排放检验机构，实现排放检验机构监管全覆盖。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  <w:tr>
        <w:trPr>
          <w:trHeight w:val="92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对重点用车企业安装门禁系统。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  <w:tr>
        <w:trPr>
          <w:trHeight w:val="1741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非道路移动机械环境管理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排放检验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持续开展非道路移动机械检测，做到施工工地、铁路货场、物流园区、高排放控制区等重点场所全覆盖。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市城市管理综合行政执法队潞城大队区市场监管局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局主要负责人</w:t>
            </w:r>
          </w:p>
        </w:tc>
      </w:tr>
      <w:tr>
        <w:trPr>
          <w:trHeight w:val="793" w:hRule="atLeast"/>
        </w:trPr>
        <w:tc>
          <w:tcPr>
            <w:tcW w:w="597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用地结构调整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扬尘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综合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整治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道路扬尘综合整治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主城区道路机械化清扫率达到70%。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区园林环卫中心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区园林环卫中心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区园林环卫中心主要负责人</w:t>
            </w:r>
          </w:p>
        </w:tc>
      </w:tr>
      <w:tr>
        <w:trPr>
          <w:trHeight w:val="1100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施工扬尘综合整治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长期坚持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主城区内施工工地全部落实扬尘治理“六个百分百”的管控要求。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市城市管理综合行政执法队潞城大队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区住建局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市城市管理综合行政执法队潞城大队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市城市管理综合行政执法队潞城大队主要负责人</w:t>
            </w:r>
          </w:p>
        </w:tc>
      </w:tr>
      <w:tr>
        <w:trPr>
          <w:trHeight w:val="922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强化降尘量控制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降尘量不高于7吨/月·平方公里。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  <w:tr>
        <w:trPr>
          <w:trHeight w:val="863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秸秆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综合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利用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加强秸秆焚烧管控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长期坚持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全面禁止秸秆露天焚烧。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</w:t>
            </w:r>
          </w:p>
        </w:tc>
      </w:tr>
      <w:tr>
        <w:trPr>
          <w:trHeight w:val="998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加强秸秆综合利用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通过饲料化、原料化、肥料化、燃料化和基料化等方式实施秸秆综合利用，秸秆综合利用率达到90%以上。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区农业农村局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各乡镇政府、街道办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各乡镇长、街道办主任</w:t>
            </w:r>
          </w:p>
        </w:tc>
      </w:tr>
      <w:tr>
        <w:trPr>
          <w:trHeight w:val="1289" w:hRule="atLeast"/>
        </w:trPr>
        <w:tc>
          <w:tcPr>
            <w:tcW w:w="597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能力建设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完善环境监测监控网络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环境空气质量监测网络建设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建设经开区环境空气质量自动监测站。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经开区管委会主任</w:t>
            </w:r>
          </w:p>
        </w:tc>
      </w:tr>
      <w:tr>
        <w:trPr>
          <w:trHeight w:val="1182" w:hRule="atLeast"/>
        </w:trPr>
        <w:tc>
          <w:tcPr>
            <w:tcW w:w="597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源排放清单编制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源排放清单编制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2021年12月底前</w:t>
            </w:r>
          </w:p>
        </w:tc>
        <w:tc>
          <w:tcPr>
            <w:tcW w:w="49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配合市生态环境局动态更新2020年大气污染源排放清单。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区生态环境分局主要负责人</w:t>
            </w:r>
          </w:p>
        </w:tc>
      </w:tr>
    </w:tbl>
    <w:p>
      <w:pPr>
        <w:ind w:firstLine="0" w:firstLineChars="0"/>
        <w:rPr>
          <w:rFonts w:ascii="Times New Roman" w:hAnsi="Times New Roman"/>
          <w:color w:val="000000"/>
        </w:rPr>
      </w:pPr>
      <w:r>
        <w:rPr>
          <w:rFonts w:ascii="仿宋_GB2312" w:hAnsi="仿宋_GB2312" w:eastAsia="仿宋_GB2312" w:cs="Times New Roman"/>
          <w:kern w:val="2"/>
          <w:sz w:val="21"/>
          <w:szCs w:val="22"/>
          <w:lang w:val="en-US" w:eastAsia="zh-CN" w:bidi="ar-SA"/>
        </w:rPr>
        <w:pict>
          <v:shape id="文本框 3" o:spid="_x0000_s1032" type="#_x0000_t202" style="position:absolute;left:0;margin-left:651.95pt;margin-top:29.9pt;height:29.25pt;width:56.25pt;rotation:0f;z-index:25166233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sectPr>
      <w:footerReference r:id="rId6" w:type="default"/>
      <w:pgSz w:w="16838" w:h="11906" w:orient="landscape"/>
      <w:pgMar w:top="1701" w:right="1418" w:bottom="1701" w:left="1418" w:header="851" w:footer="141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300" w:lineRule="exact"/>
      <w:ind w:firstLine="640"/>
    </w:pPr>
    <w:r>
      <w:rPr>
        <w:rFonts w:ascii="仿宋_GB2312" w:hAnsi="仿宋_GB2312" w:eastAsia="仿宋_GB2312" w:cs="Times New Roman"/>
        <w:kern w:val="2"/>
        <w:sz w:val="32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spacing w:line="300" w:lineRule="exact"/>
                  <w:ind w:firstLine="0" w:firstLineChars="0"/>
                  <w:rPr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adjustRightInd w:val="0"/>
      <w:spacing w:line="240" w:lineRule="auto"/>
      <w:ind w:right="357" w:firstLine="360"/>
      <w:jc w:val="center"/>
    </w:pPr>
    <w:r>
      <w:rPr>
        <w:rFonts w:ascii="仿宋_GB2312" w:hAnsi="仿宋_GB2312" w:eastAsia="仿宋_GB2312" w:cs="Times New Roman"/>
        <w:kern w:val="2"/>
        <w:sz w:val="18"/>
        <w:szCs w:val="22"/>
        <w:lang w:val="en-US" w:eastAsia="zh-CN" w:bidi="ar-SA"/>
      </w:rPr>
      <w:pict>
        <v:rect id="文本框 3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adjustRightInd w:val="0"/>
                  <w:spacing w:line="240" w:lineRule="auto"/>
                  <w:ind w:firstLine="0" w:firstLineChars="0"/>
                  <w:rPr>
                    <w:rStyle w:val="7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6"/>
                    <w:szCs w:val="26"/>
                  </w:rPr>
                  <w:fldChar w:fldCharType="begin"/>
                </w:r>
                <w:r>
                  <w:rPr>
                    <w:rStyle w:val="7"/>
                    <w:rFonts w:ascii="宋体" w:hAnsi="宋体" w:eastAsia="宋体"/>
                    <w:sz w:val="26"/>
                    <w:szCs w:val="26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6"/>
                    <w:szCs w:val="26"/>
                  </w:rPr>
                  <w:fldChar w:fldCharType="separate"/>
                </w:r>
                <w:r>
                  <w:rPr>
                    <w:rStyle w:val="7"/>
                    <w:rFonts w:ascii="宋体" w:hAnsi="宋体" w:eastAsia="宋体"/>
                    <w:sz w:val="26"/>
                    <w:szCs w:val="26"/>
                  </w:rPr>
                  <w:t>- 17 -</w:t>
                </w:r>
                <w:r>
                  <w:rPr>
                    <w:rFonts w:ascii="宋体" w:hAnsi="宋体" w:eastAsia="宋体"/>
                    <w:sz w:val="26"/>
                    <w:szCs w:val="26"/>
                  </w:rPr>
                  <w:fldChar w:fldCharType="end"/>
                </w:r>
                <w:r>
                  <w:rPr>
                    <w:rStyle w:val="7"/>
                    <w:rFonts w:hint="eastAsia" w:ascii="宋体" w:hAnsi="宋体" w:eastAsia="宋体"/>
                    <w:sz w:val="20"/>
                    <w:szCs w:val="20"/>
                  </w:rPr>
                  <w:t xml:space="preserve">  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1671208">
    <w:nsid w:val="5D153628"/>
    <w:multiLevelType w:val="multilevel"/>
    <w:tmpl w:val="5D153628"/>
    <w:lvl w:ilvl="0" w:tentative="1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Thousand"/>
      <w:lvlRestart w:val="0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楷体"/>
        <w:b/>
        <w:bCs/>
      </w:rPr>
    </w:lvl>
    <w:lvl w:ilvl="2" w:tentative="1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5616712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6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ind w:firstLine="200"/>
      <w:outlineLvl w:val="1"/>
    </w:pPr>
    <w:rPr>
      <w:rFonts w:ascii="楷体_GB2312" w:hAnsi="楷体_GB2312" w:eastAsia="楷体_GB2312"/>
      <w:b/>
      <w:bCs/>
      <w:szCs w:val="32"/>
    </w:rPr>
  </w:style>
  <w:style w:type="character" w:default="1" w:styleId="6">
    <w:name w:val="Default Paragraph Font"/>
    <w:unhideWhenUsed/>
    <w:uiPriority w:val="1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9">
    <w:name w:val="列表段落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1719</Words>
  <Characters>9803</Characters>
  <Lines>81</Lines>
  <Paragraphs>22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2021-12-02T01:08:00Z</dcterms:created>
  <dc:creator>Administrator</dc:creator>
  <cp:lastModifiedBy>Administrator</cp:lastModifiedBy>
  <cp:lastPrinted>2021-12-03T07:31:00Z</cp:lastPrinted>
  <dcterms:modified xsi:type="dcterms:W3CDTF">2021-12-07T08:01:49Z</dcterms:modified>
  <dc:title>长治市潞城区人民政府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FDE62279F399432295E3BAC0DFF2F515</vt:lpwstr>
  </property>
</Properties>
</file>