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041" w:rsidRDefault="005D2041">
      <w:pPr>
        <w:pStyle w:val="a4"/>
        <w:spacing w:beforeAutospacing="0" w:afterAutospacing="0" w:line="400" w:lineRule="exact"/>
        <w:jc w:val="center"/>
        <w:rPr>
          <w:rFonts w:ascii="方正小标宋简体" w:eastAsia="方正小标宋简体" w:hAnsi="方正小标宋简体" w:cs="方正小标宋简体"/>
          <w:color w:val="000000"/>
          <w:sz w:val="44"/>
          <w:szCs w:val="44"/>
        </w:rPr>
      </w:pPr>
    </w:p>
    <w:p w:rsidR="005D2041" w:rsidRDefault="001D2E27">
      <w:pPr>
        <w:pStyle w:val="a4"/>
        <w:spacing w:beforeAutospacing="0" w:afterAutospacing="0" w:line="57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长治市</w:t>
      </w:r>
      <w:r>
        <w:rPr>
          <w:rFonts w:ascii="方正小标宋简体" w:eastAsia="方正小标宋简体" w:hAnsi="方正小标宋简体" w:cs="方正小标宋简体" w:hint="eastAsia"/>
          <w:color w:val="000000"/>
          <w:sz w:val="44"/>
          <w:szCs w:val="44"/>
        </w:rPr>
        <w:t>潞城</w:t>
      </w:r>
      <w:r>
        <w:rPr>
          <w:rFonts w:ascii="方正小标宋简体" w:eastAsia="方正小标宋简体" w:hAnsi="方正小标宋简体" w:cs="方正小标宋简体" w:hint="eastAsia"/>
          <w:color w:val="000000"/>
          <w:sz w:val="44"/>
          <w:szCs w:val="44"/>
        </w:rPr>
        <w:t>区</w:t>
      </w:r>
      <w:r>
        <w:rPr>
          <w:rFonts w:ascii="方正小标宋简体" w:eastAsia="方正小标宋简体" w:hAnsi="方正小标宋简体" w:cs="方正小标宋简体" w:hint="eastAsia"/>
          <w:color w:val="000000"/>
          <w:sz w:val="44"/>
          <w:szCs w:val="44"/>
        </w:rPr>
        <w:t>提升行政执法质量三年行动计划</w:t>
      </w:r>
    </w:p>
    <w:p w:rsidR="005D2041" w:rsidRDefault="001D2E27">
      <w:pPr>
        <w:pStyle w:val="a4"/>
        <w:spacing w:beforeAutospacing="0" w:afterAutospacing="0" w:line="57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任务清单</w:t>
      </w: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color w:val="000000"/>
          <w:sz w:val="44"/>
          <w:szCs w:val="44"/>
        </w:rPr>
        <w:t>2023</w:t>
      </w:r>
      <w:r>
        <w:rPr>
          <w:rFonts w:ascii="方正小标宋简体" w:eastAsia="方正小标宋简体" w:hAnsi="方正小标宋简体" w:cs="方正小标宋简体" w:hint="eastAsia"/>
          <w:color w:val="000000"/>
          <w:sz w:val="44"/>
          <w:szCs w:val="44"/>
        </w:rPr>
        <w:t>—</w:t>
      </w:r>
      <w:r>
        <w:rPr>
          <w:rFonts w:ascii="方正小标宋简体" w:eastAsia="方正小标宋简体" w:hAnsi="方正小标宋简体" w:cs="方正小标宋简体" w:hint="eastAsia"/>
          <w:color w:val="000000"/>
          <w:sz w:val="44"/>
          <w:szCs w:val="44"/>
        </w:rPr>
        <w:t>2025</w:t>
      </w:r>
      <w:r>
        <w:rPr>
          <w:rFonts w:ascii="方正小标宋简体" w:eastAsia="方正小标宋简体" w:hAnsi="方正小标宋简体" w:cs="方正小标宋简体" w:hint="eastAsia"/>
          <w:color w:val="000000"/>
          <w:sz w:val="44"/>
          <w:szCs w:val="44"/>
        </w:rPr>
        <w:t>年）</w:t>
      </w:r>
    </w:p>
    <w:p w:rsidR="005D2041" w:rsidRDefault="005D2041">
      <w:pPr>
        <w:pStyle w:val="a4"/>
        <w:spacing w:beforeAutospacing="0" w:afterAutospacing="0" w:line="300" w:lineRule="exact"/>
        <w:jc w:val="center"/>
        <w:rPr>
          <w:rFonts w:ascii="方正小标宋简体" w:eastAsia="方正小标宋简体" w:hAnsi="方正小标宋简体" w:cs="方正小标宋简体"/>
          <w:color w:val="000000"/>
          <w:sz w:val="44"/>
          <w:szCs w:val="44"/>
        </w:rPr>
      </w:pPr>
    </w:p>
    <w:p w:rsidR="005D2041" w:rsidRDefault="005D2041">
      <w:pPr>
        <w:pStyle w:val="a4"/>
        <w:spacing w:beforeAutospacing="0" w:afterAutospacing="0" w:line="200" w:lineRule="exact"/>
        <w:jc w:val="center"/>
        <w:rPr>
          <w:rFonts w:ascii="Times New Roman" w:eastAsia="方正小标宋简体" w:hAnsi="Times New Roman"/>
          <w:color w:val="000000"/>
          <w:sz w:val="44"/>
          <w:szCs w:val="44"/>
        </w:rPr>
      </w:pPr>
    </w:p>
    <w:tbl>
      <w:tblPr>
        <w:tblStyle w:val="a5"/>
        <w:tblW w:w="9125" w:type="dxa"/>
        <w:jc w:val="center"/>
        <w:tblInd w:w="-96" w:type="dxa"/>
        <w:tblLayout w:type="fixed"/>
        <w:tblLook w:val="04A0"/>
      </w:tblPr>
      <w:tblGrid>
        <w:gridCol w:w="815"/>
        <w:gridCol w:w="17"/>
        <w:gridCol w:w="17"/>
        <w:gridCol w:w="1003"/>
        <w:gridCol w:w="32"/>
        <w:gridCol w:w="13"/>
        <w:gridCol w:w="1411"/>
        <w:gridCol w:w="4912"/>
        <w:gridCol w:w="794"/>
        <w:gridCol w:w="111"/>
      </w:tblGrid>
      <w:tr w:rsidR="005D2041">
        <w:trPr>
          <w:gridAfter w:val="1"/>
          <w:wAfter w:w="111" w:type="dxa"/>
          <w:trHeight w:val="422"/>
          <w:jc w:val="center"/>
        </w:trPr>
        <w:tc>
          <w:tcPr>
            <w:tcW w:w="3307" w:type="dxa"/>
            <w:gridSpan w:val="7"/>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工作任务</w:t>
            </w:r>
          </w:p>
        </w:tc>
        <w:tc>
          <w:tcPr>
            <w:tcW w:w="4913" w:type="dxa"/>
            <w:vMerge w:val="restart"/>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区级具体举措</w:t>
            </w:r>
          </w:p>
        </w:tc>
        <w:tc>
          <w:tcPr>
            <w:tcW w:w="794" w:type="dxa"/>
            <w:vMerge w:val="restart"/>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责任</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分工</w:t>
            </w:r>
          </w:p>
        </w:tc>
      </w:tr>
      <w:tr w:rsidR="005D2041">
        <w:trPr>
          <w:gridAfter w:val="1"/>
          <w:wAfter w:w="111" w:type="dxa"/>
          <w:trHeight w:val="422"/>
          <w:jc w:val="center"/>
        </w:trPr>
        <w:tc>
          <w:tcPr>
            <w:tcW w:w="833" w:type="dxa"/>
            <w:gridSpan w:val="2"/>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任务</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分类</w:t>
            </w:r>
          </w:p>
        </w:tc>
        <w:tc>
          <w:tcPr>
            <w:tcW w:w="1065" w:type="dxa"/>
            <w:gridSpan w:val="4"/>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省级指标</w:t>
            </w:r>
          </w:p>
        </w:tc>
        <w:tc>
          <w:tcPr>
            <w:tcW w:w="1409" w:type="dxa"/>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市级指标</w:t>
            </w:r>
          </w:p>
        </w:tc>
        <w:tc>
          <w:tcPr>
            <w:tcW w:w="4913" w:type="dxa"/>
            <w:vMerge/>
            <w:vAlign w:val="center"/>
          </w:tcPr>
          <w:p w:rsidR="005D2041" w:rsidRDefault="005D2041">
            <w:pPr>
              <w:pStyle w:val="3"/>
              <w:spacing w:before="0" w:beforeAutospacing="0" w:after="0" w:afterAutospacing="0" w:line="240" w:lineRule="exact"/>
              <w:jc w:val="center"/>
              <w:outlineLvl w:val="2"/>
              <w:rPr>
                <w:rFonts w:cs="宋体" w:hint="default"/>
                <w:sz w:val="18"/>
                <w:szCs w:val="18"/>
              </w:rPr>
            </w:pPr>
          </w:p>
        </w:tc>
        <w:tc>
          <w:tcPr>
            <w:tcW w:w="794" w:type="dxa"/>
            <w:vMerge/>
            <w:vAlign w:val="center"/>
          </w:tcPr>
          <w:p w:rsidR="005D2041" w:rsidRDefault="005D2041">
            <w:pPr>
              <w:pStyle w:val="3"/>
              <w:spacing w:before="0" w:beforeAutospacing="0" w:after="0" w:afterAutospacing="0" w:line="240" w:lineRule="exact"/>
              <w:jc w:val="center"/>
              <w:outlineLvl w:val="2"/>
              <w:rPr>
                <w:rFonts w:cs="宋体" w:hint="default"/>
                <w:sz w:val="18"/>
                <w:szCs w:val="18"/>
              </w:rPr>
            </w:pPr>
          </w:p>
        </w:tc>
      </w:tr>
      <w:tr w:rsidR="005D2041">
        <w:trPr>
          <w:gridAfter w:val="1"/>
          <w:wAfter w:w="111" w:type="dxa"/>
          <w:trHeight w:val="1315"/>
          <w:jc w:val="center"/>
        </w:trPr>
        <w:tc>
          <w:tcPr>
            <w:tcW w:w="833" w:type="dxa"/>
            <w:gridSpan w:val="2"/>
            <w:vMerge w:val="restart"/>
            <w:vAlign w:val="center"/>
          </w:tcPr>
          <w:p w:rsidR="005D2041" w:rsidRDefault="001D2E27">
            <w:pPr>
              <w:pStyle w:val="a4"/>
              <w:spacing w:beforeAutospacing="0" w:afterAutospacing="0" w:line="240" w:lineRule="exact"/>
              <w:jc w:val="center"/>
              <w:rPr>
                <w:rFonts w:ascii="宋体" w:hAnsi="宋体" w:cs="宋体"/>
                <w:b/>
                <w:color w:val="000000"/>
                <w:sz w:val="18"/>
                <w:szCs w:val="18"/>
              </w:rPr>
            </w:pPr>
            <w:r>
              <w:rPr>
                <w:rFonts w:ascii="宋体" w:hAnsi="宋体" w:cs="宋体" w:hint="eastAsia"/>
                <w:b/>
                <w:color w:val="000000"/>
                <w:sz w:val="18"/>
                <w:szCs w:val="18"/>
              </w:rPr>
              <w:t>一、</w:t>
            </w:r>
          </w:p>
          <w:p w:rsidR="005D2041" w:rsidRDefault="001D2E27">
            <w:pPr>
              <w:pStyle w:val="a4"/>
              <w:spacing w:beforeAutospacing="0" w:afterAutospacing="0" w:line="240" w:lineRule="exact"/>
              <w:jc w:val="center"/>
              <w:rPr>
                <w:rFonts w:ascii="宋体" w:hAnsi="宋体" w:cs="宋体"/>
                <w:b/>
                <w:color w:val="000000"/>
                <w:sz w:val="18"/>
                <w:szCs w:val="18"/>
              </w:rPr>
            </w:pPr>
            <w:r>
              <w:rPr>
                <w:rFonts w:ascii="宋体" w:hAnsi="宋体" w:cs="宋体" w:hint="eastAsia"/>
                <w:b/>
                <w:color w:val="000000"/>
                <w:sz w:val="18"/>
                <w:szCs w:val="18"/>
              </w:rPr>
              <w:t>全面</w:t>
            </w:r>
          </w:p>
          <w:p w:rsidR="005D2041" w:rsidRDefault="001D2E27">
            <w:pPr>
              <w:pStyle w:val="a4"/>
              <w:spacing w:beforeAutospacing="0" w:afterAutospacing="0" w:line="240" w:lineRule="exact"/>
              <w:jc w:val="center"/>
              <w:rPr>
                <w:rFonts w:ascii="宋体" w:hAnsi="宋体" w:cs="宋体"/>
                <w:b/>
                <w:color w:val="000000"/>
                <w:sz w:val="18"/>
                <w:szCs w:val="18"/>
              </w:rPr>
            </w:pPr>
            <w:r>
              <w:rPr>
                <w:rFonts w:ascii="宋体" w:hAnsi="宋体" w:cs="宋体" w:hint="eastAsia"/>
                <w:b/>
                <w:color w:val="000000"/>
                <w:sz w:val="18"/>
                <w:szCs w:val="18"/>
              </w:rPr>
              <w:t>提升</w:t>
            </w:r>
          </w:p>
          <w:p w:rsidR="005D2041" w:rsidRDefault="001D2E27">
            <w:pPr>
              <w:pStyle w:val="a4"/>
              <w:spacing w:beforeAutospacing="0" w:afterAutospacing="0" w:line="240" w:lineRule="exact"/>
              <w:jc w:val="center"/>
              <w:rPr>
                <w:rFonts w:ascii="宋体" w:hAnsi="宋体" w:cs="宋体"/>
                <w:b/>
                <w:color w:val="000000"/>
                <w:sz w:val="18"/>
                <w:szCs w:val="18"/>
              </w:rPr>
            </w:pPr>
            <w:r>
              <w:rPr>
                <w:rFonts w:ascii="宋体" w:hAnsi="宋体" w:cs="宋体" w:hint="eastAsia"/>
                <w:b/>
                <w:color w:val="000000"/>
                <w:sz w:val="18"/>
                <w:szCs w:val="18"/>
              </w:rPr>
              <w:t>行政</w:t>
            </w:r>
          </w:p>
          <w:p w:rsidR="005D2041" w:rsidRDefault="001D2E27">
            <w:pPr>
              <w:pStyle w:val="a4"/>
              <w:spacing w:beforeAutospacing="0" w:afterAutospacing="0" w:line="240" w:lineRule="exact"/>
              <w:jc w:val="center"/>
              <w:rPr>
                <w:rFonts w:ascii="宋体" w:hAnsi="宋体" w:cs="宋体"/>
                <w:b/>
                <w:color w:val="000000"/>
                <w:sz w:val="18"/>
                <w:szCs w:val="18"/>
              </w:rPr>
            </w:pPr>
            <w:r>
              <w:rPr>
                <w:rFonts w:ascii="宋体" w:hAnsi="宋体" w:cs="宋体" w:hint="eastAsia"/>
                <w:b/>
                <w:color w:val="000000"/>
                <w:sz w:val="18"/>
                <w:szCs w:val="18"/>
              </w:rPr>
              <w:t>执法</w:t>
            </w:r>
          </w:p>
          <w:p w:rsidR="005D2041" w:rsidRDefault="001D2E27">
            <w:pPr>
              <w:pStyle w:val="a4"/>
              <w:spacing w:beforeAutospacing="0" w:afterAutospacing="0" w:line="240" w:lineRule="exact"/>
              <w:jc w:val="center"/>
              <w:rPr>
                <w:rFonts w:ascii="宋体" w:hAnsi="宋体" w:cs="宋体"/>
                <w:b/>
                <w:color w:val="000000"/>
                <w:sz w:val="18"/>
                <w:szCs w:val="18"/>
              </w:rPr>
            </w:pPr>
            <w:r>
              <w:rPr>
                <w:rFonts w:ascii="宋体" w:hAnsi="宋体" w:cs="宋体" w:hint="eastAsia"/>
                <w:b/>
                <w:color w:val="000000"/>
                <w:sz w:val="18"/>
                <w:szCs w:val="18"/>
              </w:rPr>
              <w:t>人员</w:t>
            </w:r>
          </w:p>
          <w:p w:rsidR="005D2041" w:rsidRDefault="001D2E27">
            <w:pPr>
              <w:pStyle w:val="a4"/>
              <w:spacing w:beforeAutospacing="0" w:afterAutospacing="0" w:line="240" w:lineRule="exact"/>
              <w:jc w:val="center"/>
              <w:rPr>
                <w:rFonts w:ascii="宋体" w:hAnsi="宋体" w:cs="宋体"/>
                <w:b/>
                <w:color w:val="000000"/>
                <w:sz w:val="18"/>
                <w:szCs w:val="18"/>
              </w:rPr>
            </w:pPr>
            <w:r>
              <w:rPr>
                <w:rFonts w:ascii="宋体" w:hAnsi="宋体" w:cs="宋体" w:hint="eastAsia"/>
                <w:b/>
                <w:color w:val="000000"/>
                <w:sz w:val="18"/>
                <w:szCs w:val="18"/>
              </w:rPr>
              <w:t>能力</w:t>
            </w:r>
          </w:p>
          <w:p w:rsidR="005D2041" w:rsidRDefault="001D2E27">
            <w:pPr>
              <w:pStyle w:val="a4"/>
              <w:spacing w:beforeAutospacing="0" w:afterAutospacing="0" w:line="240" w:lineRule="exact"/>
              <w:jc w:val="center"/>
              <w:rPr>
                <w:rFonts w:ascii="宋体" w:hAnsi="宋体" w:cs="宋体"/>
                <w:b/>
                <w:color w:val="000000"/>
                <w:sz w:val="18"/>
                <w:szCs w:val="18"/>
              </w:rPr>
            </w:pPr>
            <w:r>
              <w:rPr>
                <w:rFonts w:ascii="宋体" w:hAnsi="宋体" w:cs="宋体" w:hint="eastAsia"/>
                <w:b/>
                <w:color w:val="000000"/>
                <w:sz w:val="18"/>
                <w:szCs w:val="18"/>
              </w:rPr>
              <w:t>素质</w:t>
            </w:r>
          </w:p>
        </w:tc>
        <w:tc>
          <w:tcPr>
            <w:tcW w:w="1065" w:type="dxa"/>
            <w:gridSpan w:val="4"/>
            <w:vMerge w:val="restart"/>
            <w:vAlign w:val="center"/>
          </w:tcPr>
          <w:p w:rsidR="005D2041" w:rsidRDefault="001D2E27">
            <w:pPr>
              <w:pStyle w:val="3"/>
              <w:numPr>
                <w:ilvl w:val="0"/>
                <w:numId w:val="1"/>
              </w:numPr>
              <w:spacing w:before="0" w:beforeAutospacing="0" w:after="0" w:afterAutospacing="0" w:line="240" w:lineRule="exact"/>
              <w:outlineLvl w:val="2"/>
              <w:rPr>
                <w:rFonts w:cs="宋体" w:hint="default"/>
                <w:sz w:val="18"/>
                <w:szCs w:val="18"/>
              </w:rPr>
            </w:pPr>
            <w:r>
              <w:rPr>
                <w:rFonts w:cs="宋体"/>
                <w:sz w:val="18"/>
                <w:szCs w:val="18"/>
              </w:rPr>
              <w:t>着力</w:t>
            </w:r>
          </w:p>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提高政治能力</w:t>
            </w:r>
          </w:p>
        </w:tc>
        <w:tc>
          <w:tcPr>
            <w:tcW w:w="1409"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1</w:t>
            </w:r>
            <w:r>
              <w:rPr>
                <w:rFonts w:cs="宋体"/>
                <w:sz w:val="18"/>
                <w:szCs w:val="18"/>
              </w:rPr>
              <w:t>）加强基层行政执法单位党组织建设</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区直各行政执法机关及各乡镇（街道）要把加强党的政治建设放在首位，充分发挥党建引领作用，推进深化机关党建</w:t>
            </w:r>
            <w:r>
              <w:rPr>
                <w:rFonts w:cs="宋体"/>
                <w:sz w:val="18"/>
                <w:szCs w:val="18"/>
              </w:rPr>
              <w:t>+</w:t>
            </w:r>
            <w:r>
              <w:rPr>
                <w:rFonts w:cs="宋体"/>
                <w:sz w:val="18"/>
                <w:szCs w:val="18"/>
              </w:rPr>
              <w:t>执法的特色品牌，推动党支部和党员在综合行政执法、服务群众等方面发挥好先锋堡垒作用。</w:t>
            </w:r>
          </w:p>
        </w:tc>
        <w:tc>
          <w:tcPr>
            <w:tcW w:w="794" w:type="dxa"/>
            <w:vMerge w:val="restart"/>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区司法局、区直各行政执法机关、各乡镇（街道）按职责分工负责</w:t>
            </w:r>
          </w:p>
        </w:tc>
      </w:tr>
      <w:tr w:rsidR="005D2041">
        <w:trPr>
          <w:gridAfter w:val="1"/>
          <w:wAfter w:w="111" w:type="dxa"/>
          <w:trHeight w:val="1110"/>
          <w:jc w:val="center"/>
        </w:trPr>
        <w:tc>
          <w:tcPr>
            <w:tcW w:w="833"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65" w:type="dxa"/>
            <w:gridSpan w:val="4"/>
            <w:vMerge/>
            <w:vAlign w:val="center"/>
          </w:tcPr>
          <w:p w:rsidR="005D2041" w:rsidRDefault="005D2041">
            <w:pPr>
              <w:pStyle w:val="3"/>
              <w:spacing w:before="0" w:beforeAutospacing="0" w:after="0" w:afterAutospacing="0" w:line="240" w:lineRule="exact"/>
              <w:outlineLvl w:val="2"/>
              <w:rPr>
                <w:rFonts w:cs="宋体" w:hint="default"/>
                <w:sz w:val="18"/>
                <w:szCs w:val="18"/>
              </w:rPr>
            </w:pPr>
          </w:p>
        </w:tc>
        <w:tc>
          <w:tcPr>
            <w:tcW w:w="1409"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2</w:t>
            </w:r>
            <w:r>
              <w:rPr>
                <w:rFonts w:cs="宋体"/>
                <w:sz w:val="18"/>
                <w:szCs w:val="18"/>
              </w:rPr>
              <w:t>）突出政治培训</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运用政治轮训、专题党课、辅导讲座、研讨交流等多种方式，深入学习党的二十大精神、习近平法治思想、中国特色社会主义法治理论等，持续提升做好行政执法工作的政治素质和能力本领。</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980"/>
          <w:jc w:val="center"/>
        </w:trPr>
        <w:tc>
          <w:tcPr>
            <w:tcW w:w="833"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65" w:type="dxa"/>
            <w:gridSpan w:val="4"/>
            <w:vMerge w:val="restart"/>
            <w:vAlign w:val="center"/>
          </w:tcPr>
          <w:p w:rsidR="005D2041" w:rsidRDefault="001D2E27">
            <w:pPr>
              <w:pStyle w:val="3"/>
              <w:numPr>
                <w:ilvl w:val="0"/>
                <w:numId w:val="1"/>
              </w:numPr>
              <w:spacing w:before="0" w:beforeAutospacing="0" w:after="0" w:afterAutospacing="0" w:line="240" w:lineRule="exact"/>
              <w:outlineLvl w:val="2"/>
              <w:rPr>
                <w:rFonts w:cs="宋体" w:hint="default"/>
                <w:sz w:val="18"/>
                <w:szCs w:val="18"/>
              </w:rPr>
            </w:pPr>
            <w:r>
              <w:rPr>
                <w:rFonts w:cs="宋体"/>
                <w:sz w:val="18"/>
                <w:szCs w:val="18"/>
              </w:rPr>
              <w:t>大力</w:t>
            </w:r>
          </w:p>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提升法治能力</w:t>
            </w:r>
          </w:p>
        </w:tc>
        <w:tc>
          <w:tcPr>
            <w:tcW w:w="1409"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3</w:t>
            </w:r>
            <w:r>
              <w:rPr>
                <w:rFonts w:cs="宋体"/>
                <w:sz w:val="18"/>
                <w:szCs w:val="18"/>
              </w:rPr>
              <w:t>）推进公共法律知识培训</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区司法局要牵头具体运用“线上</w:t>
            </w:r>
            <w:r>
              <w:rPr>
                <w:rFonts w:cs="宋体"/>
                <w:sz w:val="18"/>
                <w:szCs w:val="18"/>
              </w:rPr>
              <w:t>+</w:t>
            </w:r>
            <w:r>
              <w:rPr>
                <w:rFonts w:cs="宋体"/>
                <w:sz w:val="18"/>
                <w:szCs w:val="18"/>
              </w:rPr>
              <w:t>线下”方式组织全区行政执法人员公共法律知识培训。</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1000"/>
          <w:jc w:val="center"/>
        </w:trPr>
        <w:tc>
          <w:tcPr>
            <w:tcW w:w="833"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65" w:type="dxa"/>
            <w:gridSpan w:val="4"/>
            <w:vMerge/>
            <w:vAlign w:val="center"/>
          </w:tcPr>
          <w:p w:rsidR="005D2041" w:rsidRDefault="005D2041">
            <w:pPr>
              <w:pStyle w:val="3"/>
              <w:spacing w:before="0" w:beforeAutospacing="0" w:after="0" w:afterAutospacing="0" w:line="240" w:lineRule="exact"/>
              <w:outlineLvl w:val="2"/>
              <w:rPr>
                <w:rFonts w:cs="宋体" w:hint="default"/>
                <w:sz w:val="18"/>
                <w:szCs w:val="18"/>
              </w:rPr>
            </w:pPr>
          </w:p>
        </w:tc>
        <w:tc>
          <w:tcPr>
            <w:tcW w:w="1409"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4</w:t>
            </w:r>
            <w:r>
              <w:rPr>
                <w:rFonts w:cs="宋体"/>
                <w:sz w:val="18"/>
                <w:szCs w:val="18"/>
              </w:rPr>
              <w:t>）明确培训必修内容</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要将《行动计划》《实施方案》列为行政执法人员培训的必修内容，切实提升行政执法人员运用法治思维和法治方式开展执法、维护稳定、化解矛盾的能力。</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1790"/>
          <w:jc w:val="center"/>
        </w:trPr>
        <w:tc>
          <w:tcPr>
            <w:tcW w:w="833"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65" w:type="dxa"/>
            <w:gridSpan w:val="4"/>
            <w:vMerge w:val="restart"/>
            <w:vAlign w:val="center"/>
          </w:tcPr>
          <w:p w:rsidR="005D2041" w:rsidRDefault="001D2E27">
            <w:pPr>
              <w:pStyle w:val="3"/>
              <w:numPr>
                <w:ilvl w:val="0"/>
                <w:numId w:val="1"/>
              </w:numPr>
              <w:spacing w:before="0" w:beforeAutospacing="0" w:after="0" w:afterAutospacing="0" w:line="240" w:lineRule="exact"/>
              <w:outlineLvl w:val="2"/>
              <w:rPr>
                <w:rFonts w:cs="宋体" w:hint="default"/>
                <w:sz w:val="18"/>
                <w:szCs w:val="18"/>
              </w:rPr>
            </w:pPr>
            <w:r>
              <w:rPr>
                <w:rFonts w:cs="宋体"/>
                <w:sz w:val="18"/>
                <w:szCs w:val="18"/>
              </w:rPr>
              <w:t>全面</w:t>
            </w:r>
          </w:p>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提高业务能力</w:t>
            </w:r>
          </w:p>
        </w:tc>
        <w:tc>
          <w:tcPr>
            <w:tcW w:w="1409"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5</w:t>
            </w:r>
            <w:r>
              <w:rPr>
                <w:rFonts w:cs="宋体"/>
                <w:sz w:val="18"/>
                <w:szCs w:val="18"/>
              </w:rPr>
              <w:t>）开展分类分级分层培训</w:t>
            </w:r>
          </w:p>
        </w:tc>
        <w:tc>
          <w:tcPr>
            <w:tcW w:w="4913" w:type="dxa"/>
            <w:vAlign w:val="center"/>
          </w:tcPr>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区直各行政执法机关及各乡镇（街道）要按照分类分级分层培训要求，组织开展专业法律知识和行政执法技能培训，运用讲授式、研讨式、案例式、情景式、现场示范式等方法，重点围绕本领域法律、法规、规章的实施，以及执法检查、调查取证、文书制作等行政执法技能开展培训。加强执法行为规范和职业道德教育。</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765"/>
          <w:jc w:val="center"/>
        </w:trPr>
        <w:tc>
          <w:tcPr>
            <w:tcW w:w="833"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65" w:type="dxa"/>
            <w:gridSpan w:val="4"/>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409"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6</w:t>
            </w:r>
            <w:r>
              <w:rPr>
                <w:rFonts w:cs="宋体"/>
                <w:sz w:val="18"/>
                <w:szCs w:val="18"/>
              </w:rPr>
              <w:t>）加强培训业务指导</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区直各行政执法机关要加强各乡镇（街道）行政执法业务培训，鼓励跨部门联合开展培训。</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1395"/>
          <w:jc w:val="center"/>
        </w:trPr>
        <w:tc>
          <w:tcPr>
            <w:tcW w:w="833"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65" w:type="dxa"/>
            <w:gridSpan w:val="4"/>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409"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7</w:t>
            </w:r>
            <w:r>
              <w:rPr>
                <w:rFonts w:cs="宋体"/>
                <w:sz w:val="18"/>
                <w:szCs w:val="18"/>
              </w:rPr>
              <w:t>）严格培训学时要求</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区直各行政执法机关及各乡镇（街道）在完成政治理论教育和党性教育学时的基础上，确保行政执法人员每人每年接受不少于</w:t>
            </w:r>
            <w:r>
              <w:rPr>
                <w:rFonts w:cs="宋体"/>
                <w:sz w:val="18"/>
                <w:szCs w:val="18"/>
              </w:rPr>
              <w:t>60</w:t>
            </w:r>
            <w:r>
              <w:rPr>
                <w:rFonts w:cs="宋体"/>
                <w:sz w:val="18"/>
                <w:szCs w:val="18"/>
              </w:rPr>
              <w:t>学时的培训，其中公共法律知识培训不少于</w:t>
            </w:r>
            <w:r>
              <w:rPr>
                <w:rFonts w:cs="宋体"/>
                <w:sz w:val="18"/>
                <w:szCs w:val="18"/>
              </w:rPr>
              <w:t>30</w:t>
            </w:r>
            <w:r>
              <w:rPr>
                <w:rFonts w:cs="宋体"/>
                <w:sz w:val="18"/>
                <w:szCs w:val="18"/>
              </w:rPr>
              <w:t>学时，业务知识和行政执法技能培训不少于</w:t>
            </w:r>
            <w:r>
              <w:rPr>
                <w:rFonts w:cs="宋体"/>
                <w:sz w:val="18"/>
                <w:szCs w:val="18"/>
              </w:rPr>
              <w:t>30</w:t>
            </w:r>
            <w:r>
              <w:rPr>
                <w:rFonts w:cs="宋体"/>
                <w:sz w:val="18"/>
                <w:szCs w:val="18"/>
              </w:rPr>
              <w:t>学时。</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1219"/>
          <w:jc w:val="center"/>
        </w:trPr>
        <w:tc>
          <w:tcPr>
            <w:tcW w:w="833"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65" w:type="dxa"/>
            <w:gridSpan w:val="4"/>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409"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8</w:t>
            </w:r>
            <w:r>
              <w:rPr>
                <w:rFonts w:cs="宋体"/>
                <w:sz w:val="18"/>
                <w:szCs w:val="18"/>
              </w:rPr>
              <w:t>）组织实施全员轮训</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原则上于</w:t>
            </w:r>
            <w:r>
              <w:rPr>
                <w:rFonts w:cs="宋体"/>
                <w:sz w:val="18"/>
                <w:szCs w:val="18"/>
              </w:rPr>
              <w:t>2024</w:t>
            </w:r>
            <w:r>
              <w:rPr>
                <w:rFonts w:cs="宋体"/>
                <w:sz w:val="18"/>
                <w:szCs w:val="18"/>
              </w:rPr>
              <w:t>年</w:t>
            </w:r>
            <w:r>
              <w:rPr>
                <w:rFonts w:cs="宋体"/>
                <w:sz w:val="18"/>
                <w:szCs w:val="18"/>
              </w:rPr>
              <w:t>6</w:t>
            </w:r>
            <w:r>
              <w:rPr>
                <w:rFonts w:cs="宋体"/>
                <w:sz w:val="18"/>
                <w:szCs w:val="18"/>
              </w:rPr>
              <w:t>月底前完成对全区行政执法队伍的全员轮训。区司法局要加强对行政执法培训的统筹指导和监督考核。</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448"/>
          <w:jc w:val="center"/>
        </w:trPr>
        <w:tc>
          <w:tcPr>
            <w:tcW w:w="3307" w:type="dxa"/>
            <w:gridSpan w:val="7"/>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lastRenderedPageBreak/>
              <w:t>工作任务</w:t>
            </w:r>
          </w:p>
        </w:tc>
        <w:tc>
          <w:tcPr>
            <w:tcW w:w="4913" w:type="dxa"/>
            <w:vMerge w:val="restart"/>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区级具体举措</w:t>
            </w:r>
          </w:p>
        </w:tc>
        <w:tc>
          <w:tcPr>
            <w:tcW w:w="794" w:type="dxa"/>
            <w:vMerge w:val="restart"/>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责任</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分工</w:t>
            </w:r>
          </w:p>
        </w:tc>
      </w:tr>
      <w:tr w:rsidR="005D2041">
        <w:trPr>
          <w:gridAfter w:val="1"/>
          <w:wAfter w:w="111" w:type="dxa"/>
          <w:trHeight w:val="392"/>
          <w:jc w:val="center"/>
        </w:trPr>
        <w:tc>
          <w:tcPr>
            <w:tcW w:w="816" w:type="dxa"/>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任务</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分类</w:t>
            </w:r>
          </w:p>
        </w:tc>
        <w:tc>
          <w:tcPr>
            <w:tcW w:w="1035" w:type="dxa"/>
            <w:gridSpan w:val="3"/>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省级指标</w:t>
            </w:r>
          </w:p>
        </w:tc>
        <w:tc>
          <w:tcPr>
            <w:tcW w:w="1456" w:type="dxa"/>
            <w:gridSpan w:val="3"/>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市级指标</w:t>
            </w:r>
          </w:p>
        </w:tc>
        <w:tc>
          <w:tcPr>
            <w:tcW w:w="4913"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975"/>
          <w:jc w:val="center"/>
        </w:trPr>
        <w:tc>
          <w:tcPr>
            <w:tcW w:w="816" w:type="dxa"/>
            <w:vMerge w:val="restart"/>
            <w:vAlign w:val="center"/>
          </w:tcPr>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二、</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推进</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严格</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规范</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公正</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文明</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执法</w:t>
            </w:r>
          </w:p>
        </w:tc>
        <w:tc>
          <w:tcPr>
            <w:tcW w:w="1035" w:type="dxa"/>
            <w:gridSpan w:val="3"/>
            <w:vMerge w:val="restart"/>
            <w:vAlign w:val="center"/>
          </w:tcPr>
          <w:p w:rsidR="005D2041" w:rsidRDefault="001D2E27">
            <w:pPr>
              <w:pStyle w:val="3"/>
              <w:numPr>
                <w:ilvl w:val="0"/>
                <w:numId w:val="2"/>
              </w:numPr>
              <w:spacing w:before="0" w:beforeAutospacing="0" w:after="0" w:afterAutospacing="0" w:line="220" w:lineRule="exact"/>
              <w:outlineLvl w:val="2"/>
              <w:rPr>
                <w:rFonts w:cs="宋体" w:hint="default"/>
                <w:sz w:val="18"/>
                <w:szCs w:val="18"/>
              </w:rPr>
            </w:pPr>
            <w:r>
              <w:rPr>
                <w:rFonts w:cs="宋体"/>
                <w:sz w:val="18"/>
                <w:szCs w:val="18"/>
              </w:rPr>
              <w:t>切实</w:t>
            </w:r>
          </w:p>
          <w:p w:rsidR="005D2041" w:rsidRDefault="001D2E27">
            <w:pPr>
              <w:pStyle w:val="3"/>
              <w:spacing w:before="0" w:beforeAutospacing="0" w:after="0" w:afterAutospacing="0" w:line="220" w:lineRule="exact"/>
              <w:outlineLvl w:val="2"/>
              <w:rPr>
                <w:rFonts w:cs="宋体" w:hint="default"/>
                <w:sz w:val="18"/>
                <w:szCs w:val="18"/>
              </w:rPr>
            </w:pPr>
            <w:r>
              <w:rPr>
                <w:rFonts w:cs="宋体"/>
                <w:sz w:val="18"/>
                <w:szCs w:val="18"/>
              </w:rPr>
              <w:t>加强执法人员资格管理</w:t>
            </w: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9</w:t>
            </w:r>
            <w:r>
              <w:rPr>
                <w:rFonts w:cs="宋体"/>
                <w:sz w:val="18"/>
                <w:szCs w:val="18"/>
              </w:rPr>
              <w:t>）严格落实行政执法人员资格管理和持证上岗制度</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行政执法人员应当参加执法培训且通过行政执法资格考试，考试合格并取得行政执法证件后方可上岗执法，严禁未取得证件的人员独立从事行政执法工作。人民警察证件的管理使用按照《中华人民共和国人民警察法》的规定执行。</w:t>
            </w:r>
          </w:p>
        </w:tc>
        <w:tc>
          <w:tcPr>
            <w:tcW w:w="794" w:type="dxa"/>
            <w:vMerge w:val="restart"/>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区司法局、区直各行政执法机关、各乡镇（街道）按职责分工负责</w:t>
            </w:r>
          </w:p>
        </w:tc>
      </w:tr>
      <w:tr w:rsidR="005D2041">
        <w:trPr>
          <w:gridAfter w:val="1"/>
          <w:wAfter w:w="111" w:type="dxa"/>
          <w:trHeight w:val="755"/>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Merge/>
            <w:vAlign w:val="center"/>
          </w:tcPr>
          <w:p w:rsidR="005D2041" w:rsidRDefault="005D2041">
            <w:pPr>
              <w:pStyle w:val="3"/>
              <w:spacing w:before="0" w:beforeAutospacing="0" w:after="0" w:afterAutospacing="0" w:line="220" w:lineRule="exact"/>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10</w:t>
            </w:r>
            <w:r>
              <w:rPr>
                <w:rFonts w:cs="宋体"/>
                <w:sz w:val="18"/>
                <w:szCs w:val="18"/>
              </w:rPr>
              <w:t>）建立健全行政执法人员退出机制</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行政执法人员因调动、辞职、辞退、退休或其他原因离开执法岗位的，要依法及时收回并注销行政执法证件。</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930"/>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Merge/>
            <w:vAlign w:val="center"/>
          </w:tcPr>
          <w:p w:rsidR="005D2041" w:rsidRDefault="005D2041">
            <w:pPr>
              <w:pStyle w:val="3"/>
              <w:spacing w:before="0" w:beforeAutospacing="0" w:after="0" w:afterAutospacing="0" w:line="220" w:lineRule="exact"/>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11</w:t>
            </w:r>
            <w:r>
              <w:rPr>
                <w:rFonts w:cs="宋体"/>
                <w:sz w:val="18"/>
                <w:szCs w:val="18"/>
              </w:rPr>
              <w:t>）杜绝不符合要求人员违规申领、使用行政执法证件</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坚决杜绝不符合执法要求的人员违规申领、使用行政执法证件，一经发现的，要主动收回并注销行政执法证件。</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755"/>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Merge/>
            <w:vAlign w:val="center"/>
          </w:tcPr>
          <w:p w:rsidR="005D2041" w:rsidRDefault="005D2041">
            <w:pPr>
              <w:pStyle w:val="3"/>
              <w:spacing w:before="0" w:beforeAutospacing="0" w:after="0" w:afterAutospacing="0" w:line="220" w:lineRule="exact"/>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12</w:t>
            </w:r>
            <w:r>
              <w:rPr>
                <w:rFonts w:cs="宋体"/>
                <w:sz w:val="18"/>
                <w:szCs w:val="18"/>
              </w:rPr>
              <w:t>）建立健全行政执法人员年度考核制度</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落实行政执法岗位责任制，强化行政执法人员考核结果运用，将日常管理和年度考核结果作为行政执法干部培养、职级晋升、奖惩的重要依据。</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1430"/>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Align w:val="center"/>
          </w:tcPr>
          <w:p w:rsidR="005D2041" w:rsidRDefault="005D2041">
            <w:pPr>
              <w:pStyle w:val="3"/>
              <w:spacing w:before="0" w:beforeAutospacing="0" w:after="0" w:afterAutospacing="0" w:line="220" w:lineRule="exact"/>
              <w:outlineLvl w:val="2"/>
              <w:rPr>
                <w:rFonts w:cs="宋体" w:hint="default"/>
                <w:sz w:val="18"/>
                <w:szCs w:val="18"/>
              </w:rPr>
            </w:pPr>
          </w:p>
          <w:p w:rsidR="005D2041" w:rsidRDefault="001D2E27">
            <w:pPr>
              <w:pStyle w:val="3"/>
              <w:numPr>
                <w:ilvl w:val="0"/>
                <w:numId w:val="2"/>
              </w:numPr>
              <w:spacing w:before="0" w:beforeAutospacing="0" w:after="0" w:afterAutospacing="0" w:line="220" w:lineRule="exact"/>
              <w:outlineLvl w:val="2"/>
              <w:rPr>
                <w:rFonts w:cs="宋体" w:hint="default"/>
                <w:sz w:val="18"/>
                <w:szCs w:val="18"/>
              </w:rPr>
            </w:pPr>
            <w:r>
              <w:rPr>
                <w:rFonts w:cs="宋体"/>
                <w:sz w:val="18"/>
                <w:szCs w:val="18"/>
              </w:rPr>
              <w:t>强力</w:t>
            </w:r>
          </w:p>
          <w:p w:rsidR="005D2041" w:rsidRDefault="001D2E27">
            <w:pPr>
              <w:pStyle w:val="3"/>
              <w:spacing w:before="0" w:beforeAutospacing="0" w:after="0" w:afterAutospacing="0" w:line="220" w:lineRule="exact"/>
              <w:outlineLvl w:val="2"/>
              <w:rPr>
                <w:rFonts w:cs="宋体" w:hint="default"/>
                <w:sz w:val="18"/>
                <w:szCs w:val="18"/>
              </w:rPr>
            </w:pPr>
            <w:r>
              <w:rPr>
                <w:rFonts w:cs="宋体"/>
                <w:sz w:val="18"/>
                <w:szCs w:val="18"/>
              </w:rPr>
              <w:t>整治行政执法突出问题</w:t>
            </w: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13</w:t>
            </w:r>
            <w:r>
              <w:rPr>
                <w:rFonts w:cs="宋体"/>
                <w:sz w:val="18"/>
                <w:szCs w:val="18"/>
              </w:rPr>
              <w:t>）强力整治行政执法突出问题</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区直各行政执法机关及各乡镇（街道）要聚焦关系人民群众切身利益的重点执法领域，对照省、市行政执法机关制定的本领域行政执法突出问题清单，组织开展专项整治行动，编制本部门具体的问题清单，明确整治措施、整改时限、责任机构等，形成专项整治台账。并将本单位专项整治情况及时报送区司法局汇总。</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1180"/>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Merge w:val="restart"/>
            <w:vAlign w:val="center"/>
          </w:tcPr>
          <w:p w:rsidR="005D2041" w:rsidRDefault="001D2E27">
            <w:pPr>
              <w:pStyle w:val="3"/>
              <w:numPr>
                <w:ilvl w:val="0"/>
                <w:numId w:val="2"/>
              </w:numPr>
              <w:spacing w:before="0" w:beforeAutospacing="0" w:after="0" w:afterAutospacing="0" w:line="220" w:lineRule="exact"/>
              <w:outlineLvl w:val="2"/>
              <w:rPr>
                <w:rFonts w:cs="宋体" w:hint="default"/>
                <w:sz w:val="18"/>
                <w:szCs w:val="18"/>
              </w:rPr>
            </w:pPr>
            <w:r>
              <w:rPr>
                <w:rFonts w:cs="宋体"/>
                <w:sz w:val="18"/>
                <w:szCs w:val="18"/>
              </w:rPr>
              <w:t>落实</w:t>
            </w:r>
          </w:p>
          <w:p w:rsidR="005D2041" w:rsidRDefault="001D2E27">
            <w:pPr>
              <w:pStyle w:val="3"/>
              <w:spacing w:before="0" w:beforeAutospacing="0" w:after="0" w:afterAutospacing="0" w:line="220" w:lineRule="exact"/>
              <w:outlineLvl w:val="2"/>
              <w:rPr>
                <w:rFonts w:cs="宋体" w:hint="default"/>
                <w:sz w:val="18"/>
                <w:szCs w:val="18"/>
              </w:rPr>
            </w:pPr>
            <w:r>
              <w:rPr>
                <w:rFonts w:cs="宋体"/>
                <w:sz w:val="18"/>
                <w:szCs w:val="18"/>
              </w:rPr>
              <w:t>行政执法裁量基准制度</w:t>
            </w: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14</w:t>
            </w:r>
            <w:r>
              <w:rPr>
                <w:rFonts w:cs="宋体"/>
                <w:sz w:val="18"/>
                <w:szCs w:val="18"/>
              </w:rPr>
              <w:t>）严格规范行政裁量权基准制定</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区直各行政执法机关要按照《山西省规范行政执法裁量权办法》的规定，细化量化本领域行政执法的裁量范围、种类、幅度等，及时动态调整和公示，并在行政执法活动中规范行使行政执法裁量权。乡镇（街道）直接适用上级行政机关制定的行政裁量权基准，不得自行制定行政裁量权基准。</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755"/>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Merge/>
            <w:vAlign w:val="center"/>
          </w:tcPr>
          <w:p w:rsidR="005D2041" w:rsidRDefault="005D2041">
            <w:pPr>
              <w:pStyle w:val="3"/>
              <w:spacing w:before="0" w:beforeAutospacing="0" w:after="0" w:afterAutospacing="0" w:line="220" w:lineRule="exact"/>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15</w:t>
            </w:r>
            <w:r>
              <w:rPr>
                <w:rFonts w:cs="宋体"/>
                <w:sz w:val="18"/>
                <w:szCs w:val="18"/>
              </w:rPr>
              <w:t>）推广包容免罚模式</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区直各行政执法机关要依法编制从轻处罚事项、减轻处罚事项、免予处罚事项（含首次轻微违法免予处罚事项）“三张清单”并做好相关动态调整及社会公开。</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1240"/>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Align w:val="center"/>
          </w:tcPr>
          <w:p w:rsidR="005D2041" w:rsidRDefault="001D2E27">
            <w:pPr>
              <w:pStyle w:val="3"/>
              <w:numPr>
                <w:ilvl w:val="0"/>
                <w:numId w:val="2"/>
              </w:numPr>
              <w:spacing w:before="0" w:beforeAutospacing="0" w:after="0" w:afterAutospacing="0" w:line="220" w:lineRule="exact"/>
              <w:outlineLvl w:val="2"/>
              <w:rPr>
                <w:rFonts w:cs="宋体" w:hint="default"/>
                <w:sz w:val="18"/>
                <w:szCs w:val="18"/>
              </w:rPr>
            </w:pPr>
            <w:r>
              <w:rPr>
                <w:rFonts w:cs="宋体"/>
                <w:sz w:val="18"/>
                <w:szCs w:val="18"/>
              </w:rPr>
              <w:t>加大特殊行业和重点领域监管力度</w:t>
            </w: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16</w:t>
            </w:r>
            <w:r>
              <w:rPr>
                <w:rFonts w:cs="宋体"/>
                <w:sz w:val="18"/>
                <w:szCs w:val="18"/>
              </w:rPr>
              <w:t>）加大特殊行业和重点领域监管力度</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bCs/>
                <w:sz w:val="18"/>
              </w:rPr>
              <w:t>区直各行政执法机关</w:t>
            </w:r>
            <w:r>
              <w:rPr>
                <w:bCs/>
                <w:sz w:val="18"/>
              </w:rPr>
              <w:t>及</w:t>
            </w:r>
            <w:r>
              <w:rPr>
                <w:rFonts w:cs="宋体"/>
                <w:sz w:val="18"/>
                <w:szCs w:val="18"/>
              </w:rPr>
              <w:t>各乡镇（街道）要对直接涉及公共安全和人民群众生命健康的特殊行业、重点领域进行全覆盖的重点监管，特别是要加强对食品药品、公共卫生、自然资源、生态环境、安全生产、劳动保障、城市管理、交通运输、金融服务、教育培训等领域的监管。</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1110"/>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Merge w:val="restart"/>
            <w:vAlign w:val="center"/>
          </w:tcPr>
          <w:p w:rsidR="005D2041" w:rsidRDefault="001D2E27">
            <w:pPr>
              <w:pStyle w:val="3"/>
              <w:numPr>
                <w:ilvl w:val="0"/>
                <w:numId w:val="2"/>
              </w:numPr>
              <w:spacing w:before="0" w:beforeAutospacing="0" w:after="0" w:afterAutospacing="0" w:line="220" w:lineRule="exact"/>
              <w:outlineLvl w:val="2"/>
              <w:rPr>
                <w:rFonts w:cs="宋体" w:hint="default"/>
                <w:sz w:val="18"/>
                <w:szCs w:val="18"/>
              </w:rPr>
            </w:pPr>
            <w:r>
              <w:rPr>
                <w:rFonts w:cs="宋体"/>
                <w:sz w:val="18"/>
                <w:szCs w:val="18"/>
              </w:rPr>
              <w:t>规范</w:t>
            </w:r>
          </w:p>
          <w:p w:rsidR="005D2041" w:rsidRDefault="001D2E27">
            <w:pPr>
              <w:pStyle w:val="3"/>
              <w:spacing w:before="0" w:beforeAutospacing="0" w:after="0" w:afterAutospacing="0" w:line="220" w:lineRule="exact"/>
              <w:outlineLvl w:val="2"/>
              <w:rPr>
                <w:rFonts w:cs="宋体" w:hint="default"/>
                <w:sz w:val="18"/>
                <w:szCs w:val="18"/>
              </w:rPr>
            </w:pPr>
            <w:r>
              <w:rPr>
                <w:rFonts w:cs="宋体"/>
                <w:sz w:val="18"/>
                <w:szCs w:val="18"/>
              </w:rPr>
              <w:t>涉企行政执法行为</w:t>
            </w: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17</w:t>
            </w:r>
            <w:r>
              <w:rPr>
                <w:rFonts w:cs="宋体"/>
                <w:sz w:val="18"/>
                <w:szCs w:val="18"/>
              </w:rPr>
              <w:t>）加快构建新型执法机制</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严格规范涉企行政检查，区直各行政执法机关及各乡镇（街道）要健全完善以信用监管为基础的新型执法机制，深化“互联网</w:t>
            </w:r>
            <w:r>
              <w:rPr>
                <w:rFonts w:cs="宋体"/>
                <w:sz w:val="18"/>
                <w:szCs w:val="18"/>
              </w:rPr>
              <w:t>+</w:t>
            </w:r>
            <w:r>
              <w:rPr>
                <w:rFonts w:cs="宋体"/>
                <w:sz w:val="18"/>
                <w:szCs w:val="18"/>
              </w:rPr>
              <w:t>监管”应用，完善联合检查、“双随机、一公开”监管、非现场执法等工作机制，推动监管信息共享互认。</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535"/>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18</w:t>
            </w:r>
            <w:r>
              <w:rPr>
                <w:rFonts w:cs="宋体"/>
                <w:sz w:val="18"/>
                <w:szCs w:val="18"/>
              </w:rPr>
              <w:t>）探索涉企行政合规指导</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帮助企业防范行政违法风险、纠正违法行为，引导企业规范、守法经营。</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575"/>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19</w:t>
            </w:r>
            <w:r>
              <w:rPr>
                <w:rFonts w:cs="宋体"/>
                <w:sz w:val="18"/>
                <w:szCs w:val="18"/>
              </w:rPr>
              <w:t>）探索开展涉企行政执法案件经济影响评估</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探索开展涉企行政执法案件经济影响评估并作出有效防范和处置，降低行政执法活动对企业生产经营的负面影响。</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960"/>
          <w:jc w:val="center"/>
        </w:trPr>
        <w:tc>
          <w:tcPr>
            <w:tcW w:w="816"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3"/>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20</w:t>
            </w:r>
            <w:r>
              <w:rPr>
                <w:rFonts w:cs="宋体"/>
                <w:sz w:val="18"/>
                <w:szCs w:val="18"/>
              </w:rPr>
              <w:t>）畅通涉民营企业行政执法违法行为投诉举报渠道</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区直各行政执法机关及各乡镇（街道）要依法处理投诉举报事项，切实维护民营企业合法权益。</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435"/>
          <w:jc w:val="center"/>
        </w:trPr>
        <w:tc>
          <w:tcPr>
            <w:tcW w:w="3307" w:type="dxa"/>
            <w:gridSpan w:val="7"/>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lastRenderedPageBreak/>
              <w:t>工作任务</w:t>
            </w:r>
          </w:p>
        </w:tc>
        <w:tc>
          <w:tcPr>
            <w:tcW w:w="4913" w:type="dxa"/>
            <w:vMerge w:val="restart"/>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区级具体举措</w:t>
            </w:r>
          </w:p>
        </w:tc>
        <w:tc>
          <w:tcPr>
            <w:tcW w:w="794" w:type="dxa"/>
            <w:vMerge w:val="restart"/>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责任</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分工</w:t>
            </w:r>
          </w:p>
        </w:tc>
      </w:tr>
      <w:tr w:rsidR="005D2041">
        <w:trPr>
          <w:gridAfter w:val="1"/>
          <w:wAfter w:w="111" w:type="dxa"/>
          <w:trHeight w:val="360"/>
          <w:jc w:val="center"/>
        </w:trPr>
        <w:tc>
          <w:tcPr>
            <w:tcW w:w="831" w:type="dxa"/>
            <w:gridSpan w:val="2"/>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任务</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分类</w:t>
            </w:r>
          </w:p>
        </w:tc>
        <w:tc>
          <w:tcPr>
            <w:tcW w:w="1020" w:type="dxa"/>
            <w:gridSpan w:val="2"/>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省级指标</w:t>
            </w:r>
          </w:p>
        </w:tc>
        <w:tc>
          <w:tcPr>
            <w:tcW w:w="1456" w:type="dxa"/>
            <w:gridSpan w:val="3"/>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市级指标</w:t>
            </w:r>
          </w:p>
        </w:tc>
        <w:tc>
          <w:tcPr>
            <w:tcW w:w="4913"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855"/>
          <w:jc w:val="center"/>
        </w:trPr>
        <w:tc>
          <w:tcPr>
            <w:tcW w:w="831" w:type="dxa"/>
            <w:gridSpan w:val="2"/>
            <w:vMerge w:val="restart"/>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三、</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健全</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完善</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行政</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执法</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工作</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体系</w:t>
            </w:r>
          </w:p>
        </w:tc>
        <w:tc>
          <w:tcPr>
            <w:tcW w:w="1020" w:type="dxa"/>
            <w:gridSpan w:val="2"/>
            <w:vAlign w:val="center"/>
          </w:tcPr>
          <w:p w:rsidR="005D2041" w:rsidRDefault="001D2E27">
            <w:pPr>
              <w:pStyle w:val="3"/>
              <w:numPr>
                <w:ilvl w:val="0"/>
                <w:numId w:val="2"/>
              </w:numPr>
              <w:spacing w:before="0" w:beforeAutospacing="0" w:after="0" w:afterAutospacing="0" w:line="240" w:lineRule="exact"/>
              <w:outlineLvl w:val="2"/>
              <w:rPr>
                <w:rFonts w:cs="宋体" w:hint="default"/>
                <w:sz w:val="18"/>
                <w:szCs w:val="18"/>
              </w:rPr>
            </w:pPr>
            <w:r>
              <w:rPr>
                <w:rFonts w:cs="宋体"/>
                <w:sz w:val="18"/>
                <w:szCs w:val="18"/>
              </w:rPr>
              <w:t>清理</w:t>
            </w:r>
          </w:p>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规范行政执法事项</w:t>
            </w:r>
          </w:p>
        </w:tc>
        <w:tc>
          <w:tcPr>
            <w:tcW w:w="1456" w:type="dxa"/>
            <w:gridSpan w:val="3"/>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21</w:t>
            </w:r>
            <w:r>
              <w:rPr>
                <w:rFonts w:cs="宋体"/>
                <w:sz w:val="18"/>
                <w:szCs w:val="18"/>
              </w:rPr>
              <w:t>）全面开展行政执法事项清理</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区直各行政执法机关要根据法律、法规、规章的立改废情况，全面梳理、规范和精简执法事项，凡没有法律、法规、规章依据的执法事项一律取消。</w:t>
            </w:r>
          </w:p>
        </w:tc>
        <w:tc>
          <w:tcPr>
            <w:tcW w:w="794" w:type="dxa"/>
            <w:vMerge w:val="restart"/>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区司法局、区直各行政执法机关、各乡镇（街道）按职责分工负责</w:t>
            </w:r>
          </w:p>
        </w:tc>
      </w:tr>
      <w:tr w:rsidR="005D2041">
        <w:trPr>
          <w:gridAfter w:val="1"/>
          <w:wAfter w:w="111" w:type="dxa"/>
          <w:trHeight w:val="1270"/>
          <w:jc w:val="center"/>
        </w:trPr>
        <w:tc>
          <w:tcPr>
            <w:tcW w:w="831"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20" w:type="dxa"/>
            <w:gridSpan w:val="2"/>
            <w:vMerge w:val="restart"/>
            <w:vAlign w:val="center"/>
          </w:tcPr>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10.</w:t>
            </w:r>
            <w:r>
              <w:rPr>
                <w:rFonts w:cs="宋体"/>
                <w:sz w:val="18"/>
                <w:szCs w:val="18"/>
              </w:rPr>
              <w:t>制定行政执法事项目录</w:t>
            </w:r>
          </w:p>
        </w:tc>
        <w:tc>
          <w:tcPr>
            <w:tcW w:w="1456" w:type="dxa"/>
            <w:gridSpan w:val="3"/>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22</w:t>
            </w:r>
            <w:r>
              <w:rPr>
                <w:rFonts w:cs="宋体"/>
                <w:sz w:val="18"/>
                <w:szCs w:val="18"/>
              </w:rPr>
              <w:t>）加快制定行政执法事项目录</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区直各行政执法机关要根据法律、法规、规章的规定，梳理本部门行政处罚、行政许可、行政征收征用、行政确认、行政给付、行政强制、行政检查等行政执法事项，</w:t>
            </w:r>
            <w:r>
              <w:rPr>
                <w:rFonts w:cs="宋体"/>
                <w:sz w:val="18"/>
                <w:szCs w:val="18"/>
              </w:rPr>
              <w:t>2024</w:t>
            </w:r>
            <w:r>
              <w:rPr>
                <w:rFonts w:cs="宋体"/>
                <w:sz w:val="18"/>
                <w:szCs w:val="18"/>
              </w:rPr>
              <w:t>年底前制定本部门行政执法事项目录，及时公布并动态调整。</w:t>
            </w:r>
          </w:p>
        </w:tc>
        <w:tc>
          <w:tcPr>
            <w:tcW w:w="794"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r>
      <w:tr w:rsidR="005D2041">
        <w:trPr>
          <w:gridAfter w:val="1"/>
          <w:wAfter w:w="111" w:type="dxa"/>
          <w:trHeight w:val="1070"/>
          <w:jc w:val="center"/>
        </w:trPr>
        <w:tc>
          <w:tcPr>
            <w:tcW w:w="831"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20" w:type="dxa"/>
            <w:gridSpan w:val="2"/>
            <w:vMerge/>
            <w:vAlign w:val="center"/>
          </w:tcPr>
          <w:p w:rsidR="005D2041" w:rsidRDefault="005D2041">
            <w:pPr>
              <w:pStyle w:val="3"/>
              <w:spacing w:before="0" w:beforeAutospacing="0" w:after="0" w:afterAutospacing="0" w:line="240" w:lineRule="exact"/>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23</w:t>
            </w:r>
            <w:r>
              <w:rPr>
                <w:rFonts w:cs="宋体"/>
                <w:sz w:val="18"/>
                <w:szCs w:val="18"/>
              </w:rPr>
              <w:t>）</w:t>
            </w:r>
            <w:r>
              <w:rPr>
                <w:rFonts w:cs="宋体"/>
                <w:spacing w:val="-2"/>
                <w:sz w:val="18"/>
                <w:szCs w:val="18"/>
              </w:rPr>
              <w:t>加强行政执法事项目录制定的督促指导</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区司法局要切实履行行政执法体制改革的法治协调职责，加强对行政执法机关行政执法事项目录制定工作的督促力度。</w:t>
            </w:r>
          </w:p>
        </w:tc>
        <w:tc>
          <w:tcPr>
            <w:tcW w:w="794"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r>
      <w:tr w:rsidR="005D2041">
        <w:trPr>
          <w:gridAfter w:val="1"/>
          <w:wAfter w:w="111" w:type="dxa"/>
          <w:trHeight w:val="1547"/>
          <w:jc w:val="center"/>
        </w:trPr>
        <w:tc>
          <w:tcPr>
            <w:tcW w:w="831"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20" w:type="dxa"/>
            <w:gridSpan w:val="2"/>
            <w:vMerge w:val="restart"/>
            <w:vAlign w:val="center"/>
          </w:tcPr>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11.</w:t>
            </w:r>
            <w:r>
              <w:rPr>
                <w:rFonts w:cs="宋体"/>
                <w:sz w:val="18"/>
                <w:szCs w:val="18"/>
              </w:rPr>
              <w:t>做好乡镇（街道）赋权有关工作</w:t>
            </w:r>
          </w:p>
        </w:tc>
        <w:tc>
          <w:tcPr>
            <w:tcW w:w="1456" w:type="dxa"/>
            <w:gridSpan w:val="3"/>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24</w:t>
            </w:r>
            <w:r>
              <w:rPr>
                <w:rFonts w:cs="宋体"/>
                <w:sz w:val="18"/>
                <w:szCs w:val="18"/>
              </w:rPr>
              <w:t>）组织实施乡镇（街道）赋权的评估</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rPr>
            </w:pPr>
            <w:r>
              <w:rPr>
                <w:rFonts w:cs="宋体"/>
                <w:sz w:val="18"/>
                <w:szCs w:val="18"/>
              </w:rPr>
              <w:t>按照全省乡镇（街道）赋权的有关工作安排，区委组织部、区委编办、区司法局要会同有关部门，于</w:t>
            </w:r>
            <w:r>
              <w:rPr>
                <w:rFonts w:cs="宋体"/>
                <w:sz w:val="18"/>
                <w:szCs w:val="18"/>
              </w:rPr>
              <w:t>2024</w:t>
            </w:r>
            <w:r>
              <w:rPr>
                <w:rFonts w:cs="宋体"/>
                <w:sz w:val="18"/>
                <w:szCs w:val="18"/>
              </w:rPr>
              <w:t>年底前对已经下放乡镇（街道）的行政执法事项组织评估，汇总评估结果后上报市级。</w:t>
            </w:r>
          </w:p>
        </w:tc>
        <w:tc>
          <w:tcPr>
            <w:tcW w:w="794" w:type="dxa"/>
            <w:vMerge w:val="restart"/>
            <w:vAlign w:val="center"/>
          </w:tcPr>
          <w:p w:rsidR="005D2041" w:rsidRDefault="001D2E27">
            <w:pPr>
              <w:pStyle w:val="3"/>
              <w:spacing w:before="0" w:beforeAutospacing="0" w:after="0" w:afterAutospacing="0" w:line="220" w:lineRule="exact"/>
              <w:outlineLvl w:val="2"/>
              <w:rPr>
                <w:rFonts w:cs="宋体" w:hint="default"/>
                <w:sz w:val="18"/>
                <w:szCs w:val="18"/>
              </w:rPr>
            </w:pPr>
            <w:r>
              <w:rPr>
                <w:rFonts w:cs="宋体"/>
                <w:sz w:val="18"/>
                <w:szCs w:val="18"/>
              </w:rPr>
              <w:t>区委组织部、区委编办、区司法局、</w:t>
            </w:r>
            <w:r>
              <w:rPr>
                <w:sz w:val="18"/>
              </w:rPr>
              <w:t>区直各行政执法机关</w:t>
            </w:r>
            <w:r>
              <w:rPr>
                <w:rFonts w:cs="宋体"/>
                <w:sz w:val="18"/>
                <w:szCs w:val="18"/>
              </w:rPr>
              <w:t>、各乡镇</w:t>
            </w:r>
            <w:r>
              <w:rPr>
                <w:rFonts w:cs="宋体"/>
                <w:spacing w:val="-13"/>
                <w:sz w:val="18"/>
                <w:szCs w:val="18"/>
              </w:rPr>
              <w:t>（街道）</w:t>
            </w:r>
            <w:r>
              <w:rPr>
                <w:rFonts w:cs="宋体"/>
                <w:sz w:val="18"/>
                <w:szCs w:val="18"/>
              </w:rPr>
              <w:t>按职责分工负责</w:t>
            </w:r>
          </w:p>
        </w:tc>
      </w:tr>
      <w:tr w:rsidR="005D2041">
        <w:trPr>
          <w:gridAfter w:val="1"/>
          <w:wAfter w:w="111" w:type="dxa"/>
          <w:trHeight w:val="1838"/>
          <w:jc w:val="center"/>
        </w:trPr>
        <w:tc>
          <w:tcPr>
            <w:tcW w:w="831"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20" w:type="dxa"/>
            <w:gridSpan w:val="2"/>
            <w:vMerge/>
            <w:vAlign w:val="center"/>
          </w:tcPr>
          <w:p w:rsidR="005D2041" w:rsidRDefault="005D2041">
            <w:pPr>
              <w:pStyle w:val="3"/>
              <w:spacing w:before="0" w:beforeAutospacing="0" w:after="0" w:afterAutospacing="0" w:line="240" w:lineRule="exact"/>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25</w:t>
            </w:r>
            <w:r>
              <w:rPr>
                <w:rFonts w:cs="宋体"/>
                <w:sz w:val="18"/>
                <w:szCs w:val="18"/>
              </w:rPr>
              <w:t>）做好乡镇（街道）赋权事项调整的承接</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要认真做好全省赋权乡镇（街道）行政执法事项动态调整相关承接等后续工作，确保乡镇（街道）赋权放得下、接得住、管得好、有监督。</w:t>
            </w:r>
          </w:p>
        </w:tc>
        <w:tc>
          <w:tcPr>
            <w:tcW w:w="794" w:type="dxa"/>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r>
      <w:tr w:rsidR="005D2041">
        <w:trPr>
          <w:gridAfter w:val="1"/>
          <w:wAfter w:w="111" w:type="dxa"/>
          <w:trHeight w:val="890"/>
          <w:jc w:val="center"/>
        </w:trPr>
        <w:tc>
          <w:tcPr>
            <w:tcW w:w="831"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20" w:type="dxa"/>
            <w:gridSpan w:val="2"/>
            <w:vMerge w:val="restart"/>
            <w:vAlign w:val="center"/>
          </w:tcPr>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12.</w:t>
            </w:r>
            <w:r>
              <w:rPr>
                <w:rFonts w:cs="宋体"/>
                <w:sz w:val="18"/>
                <w:szCs w:val="18"/>
              </w:rPr>
              <w:t>加强乡镇（街道）行政执法规范化建设</w:t>
            </w:r>
          </w:p>
        </w:tc>
        <w:tc>
          <w:tcPr>
            <w:tcW w:w="1456" w:type="dxa"/>
            <w:gridSpan w:val="3"/>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26</w:t>
            </w:r>
            <w:r>
              <w:rPr>
                <w:rFonts w:cs="宋体"/>
                <w:sz w:val="18"/>
                <w:szCs w:val="18"/>
              </w:rPr>
              <w:t>）推进乡镇（街道）行政执法规范化试点</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加快乡镇（街道）行政执法规范化试点工作，选定</w:t>
            </w:r>
            <w:r>
              <w:rPr>
                <w:rFonts w:cs="宋体"/>
                <w:sz w:val="18"/>
                <w:szCs w:val="18"/>
              </w:rPr>
              <w:t>1</w:t>
            </w:r>
            <w:r>
              <w:rPr>
                <w:rFonts w:cs="宋体"/>
                <w:sz w:val="18"/>
                <w:szCs w:val="18"/>
              </w:rPr>
              <w:t>—</w:t>
            </w:r>
            <w:r>
              <w:rPr>
                <w:rFonts w:cs="宋体"/>
                <w:sz w:val="18"/>
                <w:szCs w:val="18"/>
              </w:rPr>
              <w:t>2</w:t>
            </w:r>
            <w:r>
              <w:rPr>
                <w:rFonts w:cs="宋体"/>
                <w:sz w:val="18"/>
                <w:szCs w:val="18"/>
              </w:rPr>
              <w:t>个乡镇（街道）作为区级试点。</w:t>
            </w:r>
          </w:p>
        </w:tc>
        <w:tc>
          <w:tcPr>
            <w:tcW w:w="794" w:type="dxa"/>
            <w:vMerge w:val="restart"/>
            <w:vAlign w:val="center"/>
          </w:tcPr>
          <w:p w:rsidR="005D2041" w:rsidRDefault="001D2E27">
            <w:pPr>
              <w:pStyle w:val="3"/>
              <w:spacing w:before="0" w:beforeAutospacing="0" w:after="0" w:afterAutospacing="0" w:line="220" w:lineRule="exact"/>
              <w:outlineLvl w:val="2"/>
              <w:rPr>
                <w:rFonts w:cs="宋体" w:hint="default"/>
                <w:sz w:val="18"/>
                <w:szCs w:val="18"/>
              </w:rPr>
            </w:pPr>
            <w:r>
              <w:rPr>
                <w:rFonts w:cs="宋体"/>
                <w:sz w:val="18"/>
                <w:szCs w:val="18"/>
              </w:rPr>
              <w:t>区司法局、区直各行政执法机关、各乡镇</w:t>
            </w:r>
            <w:r>
              <w:rPr>
                <w:rFonts w:cs="宋体"/>
                <w:spacing w:val="-13"/>
                <w:sz w:val="18"/>
                <w:szCs w:val="18"/>
              </w:rPr>
              <w:t>（街道）</w:t>
            </w:r>
            <w:r>
              <w:rPr>
                <w:rFonts w:cs="宋体"/>
                <w:sz w:val="18"/>
                <w:szCs w:val="18"/>
              </w:rPr>
              <w:t>按职责分工负责</w:t>
            </w:r>
          </w:p>
        </w:tc>
      </w:tr>
      <w:tr w:rsidR="005D2041">
        <w:trPr>
          <w:gridAfter w:val="1"/>
          <w:wAfter w:w="111" w:type="dxa"/>
          <w:trHeight w:val="1005"/>
          <w:jc w:val="center"/>
        </w:trPr>
        <w:tc>
          <w:tcPr>
            <w:tcW w:w="831"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20" w:type="dxa"/>
            <w:gridSpan w:val="2"/>
            <w:vMerge/>
            <w:vAlign w:val="center"/>
          </w:tcPr>
          <w:p w:rsidR="005D2041" w:rsidRDefault="005D2041">
            <w:pPr>
              <w:pStyle w:val="3"/>
              <w:spacing w:before="0" w:beforeAutospacing="0" w:after="0" w:afterAutospacing="0" w:line="240" w:lineRule="exact"/>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27</w:t>
            </w:r>
            <w:r>
              <w:rPr>
                <w:rFonts w:cs="宋体"/>
                <w:sz w:val="18"/>
                <w:szCs w:val="18"/>
              </w:rPr>
              <w:t>）</w:t>
            </w:r>
            <w:r>
              <w:rPr>
                <w:rFonts w:cs="宋体"/>
                <w:spacing w:val="-3"/>
                <w:sz w:val="18"/>
                <w:szCs w:val="18"/>
              </w:rPr>
              <w:t>加强对乡镇（街道）行政执法规范化指导</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要对标省级乡镇（街道）行政执法规范化试点——灵石县、左权县、文水县的建设经验，加强对乡镇（街道）行政执法规范化的指导、协调和监督。</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865"/>
          <w:jc w:val="center"/>
        </w:trPr>
        <w:tc>
          <w:tcPr>
            <w:tcW w:w="831"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20" w:type="dxa"/>
            <w:gridSpan w:val="2"/>
            <w:vMerge w:val="restart"/>
            <w:vAlign w:val="center"/>
          </w:tcPr>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13.</w:t>
            </w:r>
            <w:r>
              <w:rPr>
                <w:rFonts w:cs="宋体"/>
                <w:sz w:val="18"/>
                <w:szCs w:val="18"/>
              </w:rPr>
              <w:t>大力推进行政执法协作</w:t>
            </w:r>
          </w:p>
        </w:tc>
        <w:tc>
          <w:tcPr>
            <w:tcW w:w="1456" w:type="dxa"/>
            <w:gridSpan w:val="3"/>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28</w:t>
            </w:r>
            <w:r>
              <w:rPr>
                <w:rFonts w:cs="宋体"/>
                <w:sz w:val="18"/>
                <w:szCs w:val="18"/>
              </w:rPr>
              <w:t>）健全事前事中事后监管有效衔接机制</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区直各行政执法机关要健全事前事中事后监管有效衔接机制，厘清审管、管罚边界，明确审管、管罚权责，畅通有关衔接机制。</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1355"/>
          <w:jc w:val="center"/>
        </w:trPr>
        <w:tc>
          <w:tcPr>
            <w:tcW w:w="831"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20"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29</w:t>
            </w:r>
            <w:r>
              <w:rPr>
                <w:rFonts w:cs="宋体"/>
                <w:sz w:val="18"/>
                <w:szCs w:val="18"/>
              </w:rPr>
              <w:t>）</w:t>
            </w:r>
            <w:r>
              <w:rPr>
                <w:rFonts w:cs="宋体"/>
                <w:spacing w:val="-2"/>
                <w:sz w:val="18"/>
                <w:szCs w:val="18"/>
              </w:rPr>
              <w:t>建立健全跨部门、跨区域、跨层级的行政执法协作机制</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加强信息共享、案件移送和执法协助，不断完善行政执法管辖、法律适用等争议协调机制，实现违法线索互联、监管标准互通、处理结果互认。</w:t>
            </w:r>
          </w:p>
        </w:tc>
        <w:tc>
          <w:tcPr>
            <w:tcW w:w="794" w:type="dxa"/>
            <w:vMerge w:val="restart"/>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gridAfter w:val="1"/>
          <w:wAfter w:w="111" w:type="dxa"/>
          <w:trHeight w:val="870"/>
          <w:jc w:val="center"/>
        </w:trPr>
        <w:tc>
          <w:tcPr>
            <w:tcW w:w="831"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020"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c>
          <w:tcPr>
            <w:tcW w:w="1456" w:type="dxa"/>
            <w:gridSpan w:val="3"/>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30</w:t>
            </w:r>
            <w:r>
              <w:rPr>
                <w:rFonts w:cs="宋体"/>
                <w:sz w:val="18"/>
                <w:szCs w:val="18"/>
              </w:rPr>
              <w:t>）健全行政执法与刑事司法衔接机制</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加强与纪检监察、公安、检察、审判机关的工作衔接，建立问题反映、案情通报、案件移送等工作机制。</w:t>
            </w:r>
          </w:p>
        </w:tc>
        <w:tc>
          <w:tcPr>
            <w:tcW w:w="794" w:type="dxa"/>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trHeight w:val="422"/>
          <w:jc w:val="center"/>
        </w:trPr>
        <w:tc>
          <w:tcPr>
            <w:tcW w:w="3307" w:type="dxa"/>
            <w:gridSpan w:val="7"/>
            <w:vAlign w:val="center"/>
          </w:tcPr>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lastRenderedPageBreak/>
              <w:t>工作任务</w:t>
            </w:r>
          </w:p>
        </w:tc>
        <w:tc>
          <w:tcPr>
            <w:tcW w:w="4913" w:type="dxa"/>
            <w:vAlign w:val="center"/>
          </w:tcPr>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区级具体举措</w:t>
            </w:r>
          </w:p>
        </w:tc>
        <w:tc>
          <w:tcPr>
            <w:tcW w:w="905" w:type="dxa"/>
            <w:gridSpan w:val="2"/>
            <w:vMerge w:val="restart"/>
            <w:vAlign w:val="center"/>
          </w:tcPr>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责任</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分工</w:t>
            </w:r>
          </w:p>
        </w:tc>
      </w:tr>
      <w:tr w:rsidR="005D2041">
        <w:trPr>
          <w:trHeight w:val="550"/>
          <w:jc w:val="center"/>
        </w:trPr>
        <w:tc>
          <w:tcPr>
            <w:tcW w:w="850" w:type="dxa"/>
            <w:gridSpan w:val="3"/>
            <w:vAlign w:val="center"/>
          </w:tcPr>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任务</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分类</w:t>
            </w:r>
          </w:p>
        </w:tc>
        <w:tc>
          <w:tcPr>
            <w:tcW w:w="1035" w:type="dxa"/>
            <w:gridSpan w:val="2"/>
            <w:vAlign w:val="center"/>
          </w:tcPr>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省级指标</w:t>
            </w:r>
          </w:p>
        </w:tc>
        <w:tc>
          <w:tcPr>
            <w:tcW w:w="1422" w:type="dxa"/>
            <w:gridSpan w:val="2"/>
            <w:vAlign w:val="center"/>
          </w:tcPr>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市级指标</w:t>
            </w:r>
          </w:p>
        </w:tc>
        <w:tc>
          <w:tcPr>
            <w:tcW w:w="4913" w:type="dxa"/>
            <w:vAlign w:val="center"/>
          </w:tcPr>
          <w:p w:rsidR="005D2041" w:rsidRDefault="005D2041">
            <w:pPr>
              <w:pStyle w:val="3"/>
              <w:spacing w:before="0" w:beforeAutospacing="0" w:after="0" w:afterAutospacing="0" w:line="220" w:lineRule="exact"/>
              <w:jc w:val="center"/>
              <w:outlineLvl w:val="2"/>
              <w:rPr>
                <w:rFonts w:cs="宋体" w:hint="default"/>
                <w:sz w:val="18"/>
                <w:szCs w:val="18"/>
              </w:rPr>
            </w:pPr>
          </w:p>
        </w:tc>
        <w:tc>
          <w:tcPr>
            <w:tcW w:w="905" w:type="dxa"/>
            <w:gridSpan w:val="2"/>
            <w:vMerge/>
            <w:vAlign w:val="center"/>
          </w:tcPr>
          <w:p w:rsidR="005D2041" w:rsidRDefault="005D2041">
            <w:pPr>
              <w:pStyle w:val="3"/>
              <w:spacing w:before="0" w:beforeAutospacing="0" w:after="0" w:afterAutospacing="0" w:line="220" w:lineRule="exact"/>
              <w:jc w:val="center"/>
              <w:outlineLvl w:val="2"/>
              <w:rPr>
                <w:rFonts w:cs="宋体" w:hint="default"/>
                <w:sz w:val="18"/>
                <w:szCs w:val="18"/>
              </w:rPr>
            </w:pPr>
          </w:p>
        </w:tc>
      </w:tr>
      <w:tr w:rsidR="005D2041">
        <w:trPr>
          <w:trHeight w:val="1005"/>
          <w:jc w:val="center"/>
        </w:trPr>
        <w:tc>
          <w:tcPr>
            <w:tcW w:w="850" w:type="dxa"/>
            <w:gridSpan w:val="3"/>
            <w:vMerge w:val="restart"/>
            <w:vAlign w:val="center"/>
          </w:tcPr>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四、</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加快</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构建</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行政</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执法</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协调</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监督</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工作</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体系</w:t>
            </w:r>
          </w:p>
        </w:tc>
        <w:tc>
          <w:tcPr>
            <w:tcW w:w="1035" w:type="dxa"/>
            <w:gridSpan w:val="2"/>
            <w:vMerge w:val="restart"/>
            <w:vAlign w:val="center"/>
          </w:tcPr>
          <w:p w:rsidR="005D2041" w:rsidRDefault="001D2E27">
            <w:pPr>
              <w:pStyle w:val="3"/>
              <w:numPr>
                <w:ilvl w:val="0"/>
                <w:numId w:val="3"/>
              </w:numPr>
              <w:spacing w:before="0" w:beforeAutospacing="0" w:after="0" w:afterAutospacing="0" w:line="220" w:lineRule="exact"/>
              <w:outlineLvl w:val="2"/>
              <w:rPr>
                <w:rFonts w:cs="宋体" w:hint="default"/>
                <w:sz w:val="18"/>
                <w:szCs w:val="18"/>
              </w:rPr>
            </w:pPr>
            <w:r>
              <w:rPr>
                <w:rFonts w:cs="宋体"/>
                <w:sz w:val="18"/>
                <w:szCs w:val="18"/>
              </w:rPr>
              <w:t>健全</w:t>
            </w:r>
          </w:p>
          <w:p w:rsidR="005D2041" w:rsidRDefault="001D2E27">
            <w:pPr>
              <w:pStyle w:val="3"/>
              <w:spacing w:before="0" w:beforeAutospacing="0" w:after="0" w:afterAutospacing="0" w:line="220" w:lineRule="exact"/>
              <w:outlineLvl w:val="2"/>
              <w:rPr>
                <w:rFonts w:cs="宋体" w:hint="default"/>
                <w:sz w:val="18"/>
                <w:szCs w:val="18"/>
              </w:rPr>
            </w:pPr>
            <w:r>
              <w:rPr>
                <w:rFonts w:cs="宋体"/>
                <w:sz w:val="18"/>
                <w:szCs w:val="18"/>
              </w:rPr>
              <w:t>行政执法监督机制</w:t>
            </w: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31</w:t>
            </w:r>
            <w:r>
              <w:rPr>
                <w:rFonts w:cs="宋体"/>
                <w:sz w:val="18"/>
                <w:szCs w:val="18"/>
              </w:rPr>
              <w:t>）强化全方位、全流程的行政执法监督工作机制</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完善</w:t>
            </w:r>
            <w:r>
              <w:rPr>
                <w:rFonts w:cs="宋体"/>
                <w:sz w:val="18"/>
                <w:szCs w:val="18"/>
              </w:rPr>
              <w:t>上级政府</w:t>
            </w:r>
            <w:r>
              <w:rPr>
                <w:rFonts w:cs="宋体"/>
                <w:sz w:val="18"/>
                <w:szCs w:val="18"/>
              </w:rPr>
              <w:t>对</w:t>
            </w:r>
            <w:r>
              <w:rPr>
                <w:rFonts w:cs="宋体"/>
                <w:sz w:val="18"/>
                <w:szCs w:val="18"/>
              </w:rPr>
              <w:t>下级政府</w:t>
            </w:r>
            <w:r>
              <w:rPr>
                <w:rFonts w:cs="宋体"/>
                <w:sz w:val="18"/>
                <w:szCs w:val="18"/>
              </w:rPr>
              <w:t>实施政府层级监督、各级行政执法部门实施部门内部监督的工作机制。</w:t>
            </w:r>
          </w:p>
        </w:tc>
        <w:tc>
          <w:tcPr>
            <w:tcW w:w="905" w:type="dxa"/>
            <w:gridSpan w:val="2"/>
            <w:vMerge w:val="restart"/>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区委编办、区司法局、区直各行政执法机关、各乡镇（街道）按职责分工负责</w:t>
            </w:r>
          </w:p>
        </w:tc>
      </w:tr>
      <w:tr w:rsidR="005D2041">
        <w:trPr>
          <w:trHeight w:val="740"/>
          <w:jc w:val="center"/>
        </w:trPr>
        <w:tc>
          <w:tcPr>
            <w:tcW w:w="850" w:type="dxa"/>
            <w:gridSpan w:val="3"/>
            <w:vMerge/>
            <w:vAlign w:val="center"/>
          </w:tcPr>
          <w:p w:rsidR="005D2041" w:rsidRDefault="005D2041">
            <w:pPr>
              <w:pStyle w:val="3"/>
              <w:spacing w:before="0" w:beforeAutospacing="0" w:after="0" w:afterAutospacing="0" w:line="220" w:lineRule="exact"/>
              <w:jc w:val="center"/>
              <w:outlineLvl w:val="2"/>
              <w:rPr>
                <w:rFonts w:cs="宋体" w:hint="default"/>
                <w:sz w:val="18"/>
                <w:szCs w:val="18"/>
              </w:rPr>
            </w:pPr>
          </w:p>
        </w:tc>
        <w:tc>
          <w:tcPr>
            <w:tcW w:w="1035" w:type="dxa"/>
            <w:gridSpan w:val="2"/>
            <w:vMerge/>
            <w:vAlign w:val="center"/>
          </w:tcPr>
          <w:p w:rsidR="005D2041" w:rsidRDefault="005D2041">
            <w:pPr>
              <w:pStyle w:val="3"/>
              <w:spacing w:before="0" w:beforeAutospacing="0" w:after="0" w:afterAutospacing="0" w:line="220" w:lineRule="exact"/>
              <w:outlineLvl w:val="2"/>
              <w:rPr>
                <w:rFonts w:cs="宋体" w:hint="default"/>
                <w:sz w:val="18"/>
                <w:szCs w:val="18"/>
              </w:rPr>
            </w:pP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32</w:t>
            </w:r>
            <w:r>
              <w:rPr>
                <w:rFonts w:cs="宋体"/>
                <w:sz w:val="18"/>
                <w:szCs w:val="18"/>
              </w:rPr>
              <w:t>）加快推进工作体系的重点任务</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明确执法监督职责，规范执法监督内容，加强监督机构队伍建设，提升执法监督能力，确保执法监督力量配备、工作条件、能力水平与工作任务相适应。</w:t>
            </w:r>
          </w:p>
        </w:tc>
        <w:tc>
          <w:tcPr>
            <w:tcW w:w="905"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trHeight w:val="790"/>
          <w:jc w:val="center"/>
        </w:trPr>
        <w:tc>
          <w:tcPr>
            <w:tcW w:w="850" w:type="dxa"/>
            <w:gridSpan w:val="3"/>
            <w:vMerge/>
            <w:vAlign w:val="center"/>
          </w:tcPr>
          <w:p w:rsidR="005D2041" w:rsidRDefault="005D2041">
            <w:pPr>
              <w:pStyle w:val="3"/>
              <w:spacing w:before="0" w:beforeAutospacing="0" w:after="0" w:afterAutospacing="0" w:line="220" w:lineRule="exact"/>
              <w:jc w:val="center"/>
              <w:outlineLvl w:val="2"/>
              <w:rPr>
                <w:rFonts w:cs="宋体" w:hint="default"/>
                <w:sz w:val="18"/>
                <w:szCs w:val="18"/>
              </w:rPr>
            </w:pPr>
          </w:p>
        </w:tc>
        <w:tc>
          <w:tcPr>
            <w:tcW w:w="1035" w:type="dxa"/>
            <w:gridSpan w:val="2"/>
            <w:vMerge/>
            <w:vAlign w:val="center"/>
          </w:tcPr>
          <w:p w:rsidR="005D2041" w:rsidRDefault="005D2041">
            <w:pPr>
              <w:pStyle w:val="3"/>
              <w:spacing w:before="0" w:beforeAutospacing="0" w:after="0" w:afterAutospacing="0" w:line="220" w:lineRule="exact"/>
              <w:outlineLvl w:val="2"/>
              <w:rPr>
                <w:rFonts w:cs="宋体" w:hint="default"/>
                <w:sz w:val="18"/>
                <w:szCs w:val="18"/>
              </w:rPr>
            </w:pP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33</w:t>
            </w:r>
            <w:r>
              <w:rPr>
                <w:rFonts w:cs="宋体"/>
                <w:sz w:val="18"/>
                <w:szCs w:val="18"/>
              </w:rPr>
              <w:t>）推动行政执法监督向基层延伸</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积极探索司法所协助区司法局开展乡镇（街道）行政执法监督工作的方式方法。</w:t>
            </w:r>
          </w:p>
        </w:tc>
        <w:tc>
          <w:tcPr>
            <w:tcW w:w="905"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trHeight w:val="740"/>
          <w:jc w:val="center"/>
        </w:trPr>
        <w:tc>
          <w:tcPr>
            <w:tcW w:w="850" w:type="dxa"/>
            <w:gridSpan w:val="3"/>
            <w:vMerge/>
            <w:vAlign w:val="center"/>
          </w:tcPr>
          <w:p w:rsidR="005D2041" w:rsidRDefault="005D2041">
            <w:pPr>
              <w:pStyle w:val="3"/>
              <w:spacing w:before="0" w:beforeAutospacing="0" w:after="0" w:afterAutospacing="0" w:line="220" w:lineRule="exact"/>
              <w:jc w:val="center"/>
              <w:outlineLvl w:val="2"/>
              <w:rPr>
                <w:rFonts w:cs="宋体" w:hint="default"/>
                <w:sz w:val="18"/>
                <w:szCs w:val="18"/>
              </w:rPr>
            </w:pPr>
          </w:p>
        </w:tc>
        <w:tc>
          <w:tcPr>
            <w:tcW w:w="1035" w:type="dxa"/>
            <w:gridSpan w:val="2"/>
            <w:vMerge/>
            <w:vAlign w:val="center"/>
          </w:tcPr>
          <w:p w:rsidR="005D2041" w:rsidRDefault="005D2041">
            <w:pPr>
              <w:pStyle w:val="3"/>
              <w:spacing w:before="0" w:beforeAutospacing="0" w:after="0" w:afterAutospacing="0" w:line="220" w:lineRule="exact"/>
              <w:outlineLvl w:val="2"/>
              <w:rPr>
                <w:rFonts w:cs="宋体" w:hint="default"/>
                <w:sz w:val="18"/>
                <w:szCs w:val="18"/>
              </w:rPr>
            </w:pP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34</w:t>
            </w:r>
            <w:r>
              <w:rPr>
                <w:rFonts w:cs="宋体"/>
                <w:sz w:val="18"/>
                <w:szCs w:val="18"/>
              </w:rPr>
              <w:t>）严格工作体系建设时间节点</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2024</w:t>
            </w:r>
            <w:r>
              <w:rPr>
                <w:rFonts w:cs="宋体"/>
                <w:sz w:val="18"/>
                <w:szCs w:val="18"/>
              </w:rPr>
              <w:t>年底前助推基本建成制度完善、机制健全、职责明确、监督有力、运转高效的省市县乡四级全覆盖的行政执法协调监督工作体系。</w:t>
            </w:r>
          </w:p>
        </w:tc>
        <w:tc>
          <w:tcPr>
            <w:tcW w:w="905" w:type="dxa"/>
            <w:gridSpan w:val="2"/>
            <w:vMerge/>
            <w:vAlign w:val="center"/>
          </w:tcPr>
          <w:p w:rsidR="005D2041" w:rsidRDefault="005D2041">
            <w:pPr>
              <w:pStyle w:val="3"/>
              <w:spacing w:before="0" w:beforeAutospacing="0" w:after="0" w:afterAutospacing="0" w:line="240" w:lineRule="exact"/>
              <w:jc w:val="both"/>
              <w:outlineLvl w:val="2"/>
              <w:rPr>
                <w:rFonts w:cs="宋体" w:hint="default"/>
                <w:sz w:val="18"/>
                <w:szCs w:val="18"/>
              </w:rPr>
            </w:pPr>
          </w:p>
        </w:tc>
      </w:tr>
      <w:tr w:rsidR="005D2041">
        <w:trPr>
          <w:trHeight w:val="790"/>
          <w:jc w:val="center"/>
        </w:trPr>
        <w:tc>
          <w:tcPr>
            <w:tcW w:w="850" w:type="dxa"/>
            <w:gridSpan w:val="3"/>
            <w:vMerge/>
            <w:vAlign w:val="center"/>
          </w:tcPr>
          <w:p w:rsidR="005D2041" w:rsidRDefault="005D2041">
            <w:pPr>
              <w:pStyle w:val="3"/>
              <w:spacing w:before="0" w:beforeAutospacing="0" w:after="0" w:afterAutospacing="0" w:line="220" w:lineRule="exact"/>
              <w:jc w:val="center"/>
              <w:outlineLvl w:val="2"/>
              <w:rPr>
                <w:rFonts w:cs="宋体" w:hint="default"/>
                <w:sz w:val="18"/>
                <w:szCs w:val="18"/>
              </w:rPr>
            </w:pPr>
          </w:p>
        </w:tc>
        <w:tc>
          <w:tcPr>
            <w:tcW w:w="1035" w:type="dxa"/>
            <w:gridSpan w:val="2"/>
            <w:vMerge w:val="restart"/>
            <w:vAlign w:val="center"/>
          </w:tcPr>
          <w:p w:rsidR="005D2041" w:rsidRDefault="001D2E27">
            <w:pPr>
              <w:pStyle w:val="3"/>
              <w:numPr>
                <w:ilvl w:val="0"/>
                <w:numId w:val="3"/>
              </w:numPr>
              <w:spacing w:before="0" w:beforeAutospacing="0" w:after="0" w:afterAutospacing="0" w:line="220" w:lineRule="exact"/>
              <w:outlineLvl w:val="2"/>
              <w:rPr>
                <w:rFonts w:cs="宋体" w:hint="default"/>
                <w:sz w:val="18"/>
                <w:szCs w:val="18"/>
              </w:rPr>
            </w:pPr>
            <w:r>
              <w:rPr>
                <w:rFonts w:cs="宋体"/>
                <w:sz w:val="18"/>
                <w:szCs w:val="18"/>
              </w:rPr>
              <w:t>完善</w:t>
            </w:r>
          </w:p>
          <w:p w:rsidR="005D2041" w:rsidRDefault="001D2E27">
            <w:pPr>
              <w:pStyle w:val="3"/>
              <w:spacing w:before="0" w:beforeAutospacing="0" w:after="0" w:afterAutospacing="0" w:line="220" w:lineRule="exact"/>
              <w:outlineLvl w:val="2"/>
              <w:rPr>
                <w:rFonts w:cs="宋体" w:hint="default"/>
                <w:sz w:val="18"/>
                <w:szCs w:val="18"/>
              </w:rPr>
            </w:pPr>
            <w:r>
              <w:rPr>
                <w:rFonts w:cs="宋体"/>
                <w:sz w:val="18"/>
                <w:szCs w:val="18"/>
              </w:rPr>
              <w:t>行政执法监督制度</w:t>
            </w: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35</w:t>
            </w:r>
            <w:r>
              <w:rPr>
                <w:rFonts w:cs="宋体"/>
                <w:sz w:val="18"/>
                <w:szCs w:val="18"/>
              </w:rPr>
              <w:t>）完善行政执法监督配套工作制度</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健全完善行政执法人员资格管理、行政执法案卷评查、行政执法案例指导等行政执法监督配套工作制度，全面落实行政执法责任制，加强对行政执法的制约和监督。</w:t>
            </w:r>
          </w:p>
        </w:tc>
        <w:tc>
          <w:tcPr>
            <w:tcW w:w="905" w:type="dxa"/>
            <w:gridSpan w:val="2"/>
            <w:vMerge w:val="restart"/>
            <w:vAlign w:val="center"/>
          </w:tcPr>
          <w:p w:rsidR="005D2041" w:rsidRDefault="001D2E27">
            <w:pPr>
              <w:pStyle w:val="3"/>
              <w:spacing w:before="0" w:beforeAutospacing="0" w:after="0" w:afterAutospacing="0" w:line="200" w:lineRule="exact"/>
              <w:jc w:val="both"/>
              <w:outlineLvl w:val="2"/>
              <w:rPr>
                <w:rFonts w:cs="宋体" w:hint="default"/>
                <w:sz w:val="18"/>
                <w:szCs w:val="18"/>
              </w:rPr>
            </w:pPr>
            <w:r>
              <w:rPr>
                <w:rFonts w:cs="宋体"/>
                <w:sz w:val="18"/>
                <w:szCs w:val="18"/>
              </w:rPr>
              <w:t>区司法局、区直各行政执法机关、各乡镇</w:t>
            </w:r>
            <w:r>
              <w:rPr>
                <w:rFonts w:cs="宋体"/>
                <w:spacing w:val="-13"/>
                <w:sz w:val="18"/>
                <w:szCs w:val="18"/>
              </w:rPr>
              <w:t>（街道）</w:t>
            </w:r>
            <w:r>
              <w:rPr>
                <w:rFonts w:cs="宋体"/>
                <w:sz w:val="18"/>
                <w:szCs w:val="18"/>
              </w:rPr>
              <w:t>按职责分工负责</w:t>
            </w:r>
          </w:p>
        </w:tc>
      </w:tr>
      <w:tr w:rsidR="005D2041">
        <w:trPr>
          <w:trHeight w:val="735"/>
          <w:jc w:val="center"/>
        </w:trPr>
        <w:tc>
          <w:tcPr>
            <w:tcW w:w="850" w:type="dxa"/>
            <w:gridSpan w:val="3"/>
            <w:vMerge/>
            <w:vAlign w:val="center"/>
          </w:tcPr>
          <w:p w:rsidR="005D2041" w:rsidRDefault="005D2041">
            <w:pPr>
              <w:pStyle w:val="3"/>
              <w:spacing w:before="0" w:beforeAutospacing="0" w:after="0" w:afterAutospacing="0" w:line="220" w:lineRule="exact"/>
              <w:jc w:val="center"/>
              <w:outlineLvl w:val="2"/>
              <w:rPr>
                <w:rFonts w:cs="宋体" w:hint="default"/>
                <w:sz w:val="18"/>
                <w:szCs w:val="18"/>
              </w:rPr>
            </w:pPr>
          </w:p>
        </w:tc>
        <w:tc>
          <w:tcPr>
            <w:tcW w:w="1035" w:type="dxa"/>
            <w:gridSpan w:val="2"/>
            <w:vMerge/>
            <w:vAlign w:val="center"/>
          </w:tcPr>
          <w:p w:rsidR="005D2041" w:rsidRDefault="005D2041">
            <w:pPr>
              <w:pStyle w:val="3"/>
              <w:spacing w:before="0" w:beforeAutospacing="0" w:after="0" w:afterAutospacing="0" w:line="220" w:lineRule="exact"/>
              <w:outlineLvl w:val="2"/>
              <w:rPr>
                <w:rFonts w:cs="宋体" w:hint="default"/>
                <w:sz w:val="18"/>
                <w:szCs w:val="18"/>
              </w:rPr>
            </w:pP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36</w:t>
            </w:r>
            <w:r>
              <w:rPr>
                <w:rFonts w:cs="宋体"/>
                <w:sz w:val="18"/>
                <w:szCs w:val="18"/>
              </w:rPr>
              <w:t>）健全行政执法考核评价指标体系</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研究制定科学、合理的行政执法考核评价指标体系，提高相关指标的针对性、约束力。</w:t>
            </w:r>
          </w:p>
        </w:tc>
        <w:tc>
          <w:tcPr>
            <w:tcW w:w="905" w:type="dxa"/>
            <w:gridSpan w:val="2"/>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r>
      <w:tr w:rsidR="005D2041">
        <w:trPr>
          <w:trHeight w:val="765"/>
          <w:jc w:val="center"/>
        </w:trPr>
        <w:tc>
          <w:tcPr>
            <w:tcW w:w="850" w:type="dxa"/>
            <w:gridSpan w:val="3"/>
            <w:vMerge/>
            <w:vAlign w:val="center"/>
          </w:tcPr>
          <w:p w:rsidR="005D2041" w:rsidRDefault="005D2041">
            <w:pPr>
              <w:pStyle w:val="3"/>
              <w:spacing w:before="0" w:beforeAutospacing="0" w:after="0" w:afterAutospacing="0" w:line="220" w:lineRule="exact"/>
              <w:jc w:val="center"/>
              <w:outlineLvl w:val="2"/>
              <w:rPr>
                <w:rFonts w:cs="宋体" w:hint="default"/>
                <w:sz w:val="18"/>
                <w:szCs w:val="18"/>
              </w:rPr>
            </w:pPr>
          </w:p>
        </w:tc>
        <w:tc>
          <w:tcPr>
            <w:tcW w:w="1035" w:type="dxa"/>
            <w:gridSpan w:val="2"/>
            <w:vMerge w:val="restart"/>
            <w:vAlign w:val="center"/>
          </w:tcPr>
          <w:p w:rsidR="005D2041" w:rsidRDefault="001D2E27">
            <w:pPr>
              <w:pStyle w:val="3"/>
              <w:numPr>
                <w:ilvl w:val="0"/>
                <w:numId w:val="3"/>
              </w:numPr>
              <w:spacing w:before="0" w:beforeAutospacing="0" w:after="0" w:afterAutospacing="0" w:line="220" w:lineRule="exact"/>
              <w:outlineLvl w:val="2"/>
              <w:rPr>
                <w:rFonts w:cs="宋体" w:hint="default"/>
                <w:sz w:val="18"/>
                <w:szCs w:val="18"/>
              </w:rPr>
            </w:pPr>
            <w:r>
              <w:rPr>
                <w:rFonts w:cs="宋体"/>
                <w:sz w:val="18"/>
                <w:szCs w:val="18"/>
              </w:rPr>
              <w:t>创新</w:t>
            </w:r>
          </w:p>
          <w:p w:rsidR="005D2041" w:rsidRDefault="001D2E27">
            <w:pPr>
              <w:pStyle w:val="3"/>
              <w:spacing w:before="0" w:beforeAutospacing="0" w:after="0" w:afterAutospacing="0" w:line="220" w:lineRule="exact"/>
              <w:outlineLvl w:val="2"/>
              <w:rPr>
                <w:rFonts w:cs="宋体" w:hint="default"/>
                <w:sz w:val="18"/>
                <w:szCs w:val="18"/>
              </w:rPr>
            </w:pPr>
            <w:r>
              <w:rPr>
                <w:rFonts w:cs="宋体"/>
                <w:sz w:val="18"/>
                <w:szCs w:val="18"/>
              </w:rPr>
              <w:t>行政执法监督方式</w:t>
            </w: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37</w:t>
            </w:r>
            <w:r>
              <w:rPr>
                <w:rFonts w:cs="宋体"/>
                <w:sz w:val="18"/>
                <w:szCs w:val="18"/>
              </w:rPr>
              <w:t>）创新行政执法监督具体举措</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综合运用行政执法工作报告、统计分析、评议考核、案卷评查等方式，对行政执法工作情况开展经常性监督。积极探索完善重大行政执法案件专项监督调查处理机制。</w:t>
            </w:r>
          </w:p>
        </w:tc>
        <w:tc>
          <w:tcPr>
            <w:tcW w:w="905" w:type="dxa"/>
            <w:gridSpan w:val="2"/>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r>
      <w:tr w:rsidR="005D2041">
        <w:trPr>
          <w:trHeight w:val="790"/>
          <w:jc w:val="center"/>
        </w:trPr>
        <w:tc>
          <w:tcPr>
            <w:tcW w:w="850" w:type="dxa"/>
            <w:gridSpan w:val="3"/>
            <w:vMerge/>
            <w:vAlign w:val="center"/>
          </w:tcPr>
          <w:p w:rsidR="005D2041" w:rsidRDefault="005D2041">
            <w:pPr>
              <w:pStyle w:val="3"/>
              <w:spacing w:before="0" w:beforeAutospacing="0" w:after="0" w:afterAutospacing="0" w:line="220" w:lineRule="exact"/>
              <w:jc w:val="center"/>
              <w:outlineLvl w:val="2"/>
              <w:rPr>
                <w:rFonts w:cs="宋体" w:hint="default"/>
                <w:sz w:val="18"/>
                <w:szCs w:val="18"/>
              </w:rPr>
            </w:pPr>
          </w:p>
        </w:tc>
        <w:tc>
          <w:tcPr>
            <w:tcW w:w="1035" w:type="dxa"/>
            <w:gridSpan w:val="2"/>
            <w:vMerge/>
            <w:vAlign w:val="center"/>
          </w:tcPr>
          <w:p w:rsidR="005D2041" w:rsidRDefault="005D2041">
            <w:pPr>
              <w:pStyle w:val="3"/>
              <w:spacing w:before="0" w:beforeAutospacing="0" w:after="0" w:afterAutospacing="0" w:line="220" w:lineRule="exact"/>
              <w:outlineLvl w:val="2"/>
              <w:rPr>
                <w:rFonts w:cs="宋体" w:hint="default"/>
                <w:sz w:val="18"/>
                <w:szCs w:val="18"/>
              </w:rPr>
            </w:pP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38</w:t>
            </w:r>
            <w:r>
              <w:rPr>
                <w:rFonts w:cs="宋体"/>
                <w:sz w:val="18"/>
                <w:szCs w:val="18"/>
              </w:rPr>
              <w:t>）加强行政执法外部监督</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落实行政执法监督员和行政执法监督联系点制度，建立行政执法监督与</w:t>
            </w:r>
            <w:r>
              <w:rPr>
                <w:rFonts w:cs="宋体"/>
                <w:sz w:val="18"/>
                <w:szCs w:val="18"/>
              </w:rPr>
              <w:t>12345</w:t>
            </w:r>
            <w:r>
              <w:rPr>
                <w:rFonts w:cs="宋体"/>
                <w:sz w:val="18"/>
                <w:szCs w:val="18"/>
              </w:rPr>
              <w:t>政务服务便民热线等监督渠道的信息共享机制。</w:t>
            </w:r>
          </w:p>
        </w:tc>
        <w:tc>
          <w:tcPr>
            <w:tcW w:w="905" w:type="dxa"/>
            <w:gridSpan w:val="2"/>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r>
      <w:tr w:rsidR="005D2041">
        <w:trPr>
          <w:trHeight w:val="1050"/>
          <w:jc w:val="center"/>
        </w:trPr>
        <w:tc>
          <w:tcPr>
            <w:tcW w:w="850" w:type="dxa"/>
            <w:gridSpan w:val="3"/>
            <w:vMerge/>
            <w:vAlign w:val="center"/>
          </w:tcPr>
          <w:p w:rsidR="005D2041" w:rsidRDefault="005D2041">
            <w:pPr>
              <w:pStyle w:val="3"/>
              <w:spacing w:before="0" w:beforeAutospacing="0" w:after="0" w:afterAutospacing="0" w:line="220" w:lineRule="exact"/>
              <w:jc w:val="center"/>
              <w:outlineLvl w:val="2"/>
              <w:rPr>
                <w:rFonts w:cs="宋体" w:hint="default"/>
                <w:sz w:val="18"/>
                <w:szCs w:val="18"/>
              </w:rPr>
            </w:pPr>
          </w:p>
        </w:tc>
        <w:tc>
          <w:tcPr>
            <w:tcW w:w="1035" w:type="dxa"/>
            <w:gridSpan w:val="2"/>
            <w:vMerge/>
            <w:vAlign w:val="center"/>
          </w:tcPr>
          <w:p w:rsidR="005D2041" w:rsidRDefault="005D2041">
            <w:pPr>
              <w:pStyle w:val="3"/>
              <w:spacing w:before="0" w:beforeAutospacing="0" w:after="0" w:afterAutospacing="0" w:line="220" w:lineRule="exact"/>
              <w:outlineLvl w:val="2"/>
              <w:rPr>
                <w:rFonts w:cs="宋体" w:hint="default"/>
                <w:sz w:val="18"/>
                <w:szCs w:val="18"/>
              </w:rPr>
            </w:pP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39</w:t>
            </w:r>
            <w:r>
              <w:rPr>
                <w:rFonts w:cs="宋体"/>
                <w:sz w:val="18"/>
                <w:szCs w:val="18"/>
              </w:rPr>
              <w:t>）推动各级政府及部门的行政执法监督机构积极履职</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区司法局要制定年度行政执法监督工作方案，代表本级政府对本地行政执法工作进行全方位、全流程监督。区司法局承担行政执法监督职责的机构，要加强对区直行政执法工作和重大行政执法案件的统筹协调、监督指导。</w:t>
            </w:r>
          </w:p>
        </w:tc>
        <w:tc>
          <w:tcPr>
            <w:tcW w:w="905" w:type="dxa"/>
            <w:gridSpan w:val="2"/>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r>
      <w:tr w:rsidR="005D2041">
        <w:trPr>
          <w:trHeight w:val="1550"/>
          <w:jc w:val="center"/>
        </w:trPr>
        <w:tc>
          <w:tcPr>
            <w:tcW w:w="850" w:type="dxa"/>
            <w:gridSpan w:val="3"/>
            <w:vMerge w:val="restart"/>
            <w:vAlign w:val="center"/>
          </w:tcPr>
          <w:p w:rsidR="005D2041" w:rsidRDefault="005D2041">
            <w:pPr>
              <w:pStyle w:val="3"/>
              <w:numPr>
                <w:ilvl w:val="0"/>
                <w:numId w:val="4"/>
              </w:numPr>
              <w:spacing w:before="0" w:beforeAutospacing="0" w:after="0" w:afterAutospacing="0" w:line="220" w:lineRule="exact"/>
              <w:jc w:val="center"/>
              <w:outlineLvl w:val="2"/>
              <w:rPr>
                <w:rFonts w:cs="宋体" w:hint="default"/>
                <w:sz w:val="18"/>
                <w:szCs w:val="18"/>
              </w:rPr>
            </w:pP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健全</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行政</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执法</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和</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行政</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执法</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监督</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科技</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保障</w:t>
            </w:r>
          </w:p>
          <w:p w:rsidR="005D2041" w:rsidRDefault="001D2E27">
            <w:pPr>
              <w:pStyle w:val="3"/>
              <w:spacing w:before="0" w:beforeAutospacing="0" w:after="0" w:afterAutospacing="0" w:line="220" w:lineRule="exact"/>
              <w:jc w:val="center"/>
              <w:outlineLvl w:val="2"/>
              <w:rPr>
                <w:rFonts w:cs="宋体" w:hint="default"/>
                <w:sz w:val="18"/>
                <w:szCs w:val="18"/>
              </w:rPr>
            </w:pPr>
            <w:r>
              <w:rPr>
                <w:rFonts w:cs="宋体"/>
                <w:sz w:val="18"/>
                <w:szCs w:val="18"/>
              </w:rPr>
              <w:t>体系</w:t>
            </w:r>
          </w:p>
        </w:tc>
        <w:tc>
          <w:tcPr>
            <w:tcW w:w="1035" w:type="dxa"/>
            <w:gridSpan w:val="2"/>
            <w:vMerge w:val="restart"/>
            <w:vAlign w:val="center"/>
          </w:tcPr>
          <w:p w:rsidR="005D2041" w:rsidRDefault="001D2E27">
            <w:pPr>
              <w:pStyle w:val="3"/>
              <w:numPr>
                <w:ilvl w:val="0"/>
                <w:numId w:val="5"/>
              </w:numPr>
              <w:spacing w:before="0" w:beforeAutospacing="0" w:after="0" w:afterAutospacing="0" w:line="220" w:lineRule="exact"/>
              <w:outlineLvl w:val="2"/>
              <w:rPr>
                <w:rFonts w:cs="宋体" w:hint="default"/>
                <w:sz w:val="18"/>
                <w:szCs w:val="18"/>
              </w:rPr>
            </w:pPr>
            <w:r>
              <w:rPr>
                <w:rFonts w:cs="宋体"/>
                <w:sz w:val="18"/>
                <w:szCs w:val="18"/>
              </w:rPr>
              <w:t>推进</w:t>
            </w:r>
          </w:p>
          <w:p w:rsidR="005D2041" w:rsidRDefault="001D2E27">
            <w:pPr>
              <w:pStyle w:val="3"/>
              <w:spacing w:before="0" w:beforeAutospacing="0" w:after="0" w:afterAutospacing="0" w:line="220" w:lineRule="exact"/>
              <w:outlineLvl w:val="2"/>
              <w:rPr>
                <w:rFonts w:cs="宋体" w:hint="default"/>
                <w:sz w:val="18"/>
                <w:szCs w:val="18"/>
              </w:rPr>
            </w:pPr>
            <w:r>
              <w:rPr>
                <w:rFonts w:cs="宋体"/>
                <w:sz w:val="18"/>
                <w:szCs w:val="18"/>
              </w:rPr>
              <w:t>行政执法和行政执法监督信息系统建设</w:t>
            </w: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40</w:t>
            </w:r>
            <w:r>
              <w:rPr>
                <w:rFonts w:cs="宋体"/>
                <w:sz w:val="18"/>
                <w:szCs w:val="18"/>
              </w:rPr>
              <w:t>）推进平台建设和应用</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按照国家统筹、省级组织、省市两级集中部署、省市县乡四级一体化应用方式，区司法局要根据省、市要求统一安排牵头推进行政执法和行政执法监督一体化平台集约化建设和部署应用。</w:t>
            </w:r>
          </w:p>
        </w:tc>
        <w:tc>
          <w:tcPr>
            <w:tcW w:w="905" w:type="dxa"/>
            <w:gridSpan w:val="2"/>
            <w:vMerge w:val="restart"/>
            <w:vAlign w:val="center"/>
          </w:tcPr>
          <w:p w:rsidR="005D2041" w:rsidRDefault="001D2E27">
            <w:pPr>
              <w:pStyle w:val="3"/>
              <w:spacing w:before="0" w:beforeAutospacing="0" w:after="0" w:afterAutospacing="0" w:line="200" w:lineRule="exact"/>
              <w:jc w:val="both"/>
              <w:outlineLvl w:val="2"/>
              <w:rPr>
                <w:rFonts w:cs="宋体" w:hint="default"/>
                <w:sz w:val="18"/>
                <w:szCs w:val="18"/>
              </w:rPr>
            </w:pPr>
            <w:r>
              <w:rPr>
                <w:rFonts w:cs="宋体"/>
                <w:sz w:val="18"/>
                <w:szCs w:val="18"/>
              </w:rPr>
              <w:t>区司法局、区财政局、区行政审批局、区直各行政执法机关、各乡镇（街道）按职责分工负责</w:t>
            </w:r>
          </w:p>
        </w:tc>
      </w:tr>
      <w:tr w:rsidR="005D2041">
        <w:trPr>
          <w:trHeight w:val="1125"/>
          <w:jc w:val="center"/>
        </w:trPr>
        <w:tc>
          <w:tcPr>
            <w:tcW w:w="850" w:type="dxa"/>
            <w:gridSpan w:val="3"/>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2"/>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41</w:t>
            </w:r>
            <w:r>
              <w:rPr>
                <w:rFonts w:cs="宋体"/>
                <w:sz w:val="18"/>
                <w:szCs w:val="18"/>
              </w:rPr>
              <w:t>）</w:t>
            </w:r>
            <w:r>
              <w:rPr>
                <w:rFonts w:cs="宋体"/>
                <w:spacing w:val="-5"/>
                <w:sz w:val="18"/>
                <w:szCs w:val="18"/>
              </w:rPr>
              <w:t>强化平台建设的协作配合</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区财政、政务服务管理等部门要做好协调配合，助力打造省市县乡四级行政执法综合管理平台和行政执法监督平台。</w:t>
            </w:r>
          </w:p>
        </w:tc>
        <w:tc>
          <w:tcPr>
            <w:tcW w:w="905" w:type="dxa"/>
            <w:gridSpan w:val="2"/>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r>
      <w:tr w:rsidR="005D2041">
        <w:trPr>
          <w:trHeight w:val="1360"/>
          <w:jc w:val="center"/>
        </w:trPr>
        <w:tc>
          <w:tcPr>
            <w:tcW w:w="850" w:type="dxa"/>
            <w:gridSpan w:val="3"/>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035" w:type="dxa"/>
            <w:gridSpan w:val="2"/>
            <w:vMerge/>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c>
          <w:tcPr>
            <w:tcW w:w="1422" w:type="dxa"/>
            <w:gridSpan w:val="2"/>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w:t>
            </w:r>
            <w:r>
              <w:rPr>
                <w:rFonts w:cs="宋体"/>
                <w:sz w:val="18"/>
                <w:szCs w:val="18"/>
              </w:rPr>
              <w:t>42</w:t>
            </w:r>
            <w:r>
              <w:rPr>
                <w:rFonts w:cs="宋体"/>
                <w:sz w:val="18"/>
                <w:szCs w:val="18"/>
              </w:rPr>
              <w:t>）推行行政执法移动应用程序掌上执法</w:t>
            </w:r>
          </w:p>
        </w:tc>
        <w:tc>
          <w:tcPr>
            <w:tcW w:w="4913" w:type="dxa"/>
            <w:vAlign w:val="center"/>
          </w:tcPr>
          <w:p w:rsidR="005D2041" w:rsidRDefault="001D2E27">
            <w:pPr>
              <w:pStyle w:val="3"/>
              <w:spacing w:before="0" w:beforeAutospacing="0" w:after="0" w:afterAutospacing="0" w:line="220" w:lineRule="exact"/>
              <w:jc w:val="both"/>
              <w:outlineLvl w:val="2"/>
              <w:rPr>
                <w:rFonts w:cs="宋体" w:hint="default"/>
                <w:sz w:val="18"/>
                <w:szCs w:val="18"/>
              </w:rPr>
            </w:pPr>
            <w:r>
              <w:rPr>
                <w:rFonts w:cs="宋体"/>
                <w:sz w:val="18"/>
                <w:szCs w:val="18"/>
              </w:rPr>
              <w:t>区直各行政执法机关及各乡镇（街道）要主动对接应用，加强对行政执法活动的即时性、过程性、系统性管理。推行行政执法移动应用程序（</w:t>
            </w:r>
            <w:r>
              <w:rPr>
                <w:rFonts w:cs="宋体"/>
                <w:sz w:val="18"/>
                <w:szCs w:val="18"/>
              </w:rPr>
              <w:t>APP</w:t>
            </w:r>
            <w:r>
              <w:rPr>
                <w:rFonts w:cs="宋体"/>
                <w:sz w:val="18"/>
                <w:szCs w:val="18"/>
              </w:rPr>
              <w:t>）掌上执法，提高行政执法智能化水平。</w:t>
            </w:r>
          </w:p>
        </w:tc>
        <w:tc>
          <w:tcPr>
            <w:tcW w:w="905" w:type="dxa"/>
            <w:gridSpan w:val="2"/>
            <w:vAlign w:val="center"/>
          </w:tcPr>
          <w:p w:rsidR="005D2041" w:rsidRDefault="005D2041">
            <w:pPr>
              <w:pStyle w:val="3"/>
              <w:spacing w:before="0" w:beforeAutospacing="0" w:after="0" w:afterAutospacing="0" w:line="220" w:lineRule="exact"/>
              <w:jc w:val="both"/>
              <w:outlineLvl w:val="2"/>
              <w:rPr>
                <w:rFonts w:cs="宋体" w:hint="default"/>
                <w:sz w:val="18"/>
                <w:szCs w:val="18"/>
              </w:rPr>
            </w:pPr>
          </w:p>
        </w:tc>
      </w:tr>
    </w:tbl>
    <w:tbl>
      <w:tblPr>
        <w:tblStyle w:val="a5"/>
        <w:tblpPr w:leftFromText="180" w:rightFromText="180" w:vertAnchor="text" w:horzAnchor="page" w:tblpX="1545" w:tblpY="81"/>
        <w:tblOverlap w:val="never"/>
        <w:tblW w:w="9048" w:type="dxa"/>
        <w:tblLayout w:type="fixed"/>
        <w:tblLook w:val="04A0"/>
      </w:tblPr>
      <w:tblGrid>
        <w:gridCol w:w="849"/>
        <w:gridCol w:w="1009"/>
        <w:gridCol w:w="1422"/>
        <w:gridCol w:w="4913"/>
        <w:gridCol w:w="855"/>
      </w:tblGrid>
      <w:tr w:rsidR="005D2041">
        <w:trPr>
          <w:trHeight w:val="410"/>
        </w:trPr>
        <w:tc>
          <w:tcPr>
            <w:tcW w:w="3280" w:type="dxa"/>
            <w:gridSpan w:val="3"/>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lastRenderedPageBreak/>
              <w:t>工作任务</w:t>
            </w:r>
          </w:p>
        </w:tc>
        <w:tc>
          <w:tcPr>
            <w:tcW w:w="4913" w:type="dxa"/>
            <w:vMerge w:val="restart"/>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区级具体举措</w:t>
            </w:r>
          </w:p>
        </w:tc>
        <w:tc>
          <w:tcPr>
            <w:tcW w:w="855" w:type="dxa"/>
            <w:vMerge w:val="restart"/>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责任</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分工</w:t>
            </w:r>
          </w:p>
        </w:tc>
      </w:tr>
      <w:tr w:rsidR="005D2041">
        <w:trPr>
          <w:trHeight w:val="282"/>
        </w:trPr>
        <w:tc>
          <w:tcPr>
            <w:tcW w:w="849" w:type="dxa"/>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任务</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分类</w:t>
            </w:r>
          </w:p>
        </w:tc>
        <w:tc>
          <w:tcPr>
            <w:tcW w:w="1009" w:type="dxa"/>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省级指标</w:t>
            </w:r>
          </w:p>
        </w:tc>
        <w:tc>
          <w:tcPr>
            <w:tcW w:w="1422" w:type="dxa"/>
            <w:vAlign w:val="center"/>
          </w:tcPr>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市级指标</w:t>
            </w:r>
          </w:p>
        </w:tc>
        <w:tc>
          <w:tcPr>
            <w:tcW w:w="4913"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855" w:type="dxa"/>
            <w:vMerge/>
          </w:tcPr>
          <w:p w:rsidR="005D2041" w:rsidRDefault="005D2041">
            <w:pPr>
              <w:pStyle w:val="3"/>
              <w:spacing w:before="0" w:beforeAutospacing="0" w:after="0" w:afterAutospacing="0" w:line="240" w:lineRule="exact"/>
              <w:outlineLvl w:val="2"/>
              <w:rPr>
                <w:rFonts w:cs="宋体" w:hint="default"/>
                <w:sz w:val="18"/>
                <w:szCs w:val="18"/>
              </w:rPr>
            </w:pPr>
          </w:p>
        </w:tc>
      </w:tr>
      <w:tr w:rsidR="005D2041">
        <w:trPr>
          <w:trHeight w:val="1800"/>
        </w:trPr>
        <w:tc>
          <w:tcPr>
            <w:tcW w:w="849" w:type="dxa"/>
            <w:vMerge w:val="restart"/>
            <w:vAlign w:val="center"/>
          </w:tcPr>
          <w:p w:rsidR="005D2041" w:rsidRDefault="005D2041">
            <w:pPr>
              <w:pStyle w:val="3"/>
              <w:spacing w:before="0" w:beforeAutospacing="0" w:after="0" w:afterAutospacing="0" w:line="240" w:lineRule="exact"/>
              <w:outlineLvl w:val="2"/>
              <w:rPr>
                <w:rFonts w:cs="宋体" w:hint="default"/>
                <w:sz w:val="18"/>
                <w:szCs w:val="18"/>
              </w:rPr>
            </w:pP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六、</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强化</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行政</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执法</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保障</w:t>
            </w:r>
          </w:p>
          <w:p w:rsidR="005D2041" w:rsidRDefault="001D2E27">
            <w:pPr>
              <w:pStyle w:val="3"/>
              <w:spacing w:before="0" w:beforeAutospacing="0" w:after="0" w:afterAutospacing="0" w:line="240" w:lineRule="exact"/>
              <w:jc w:val="center"/>
              <w:outlineLvl w:val="2"/>
              <w:rPr>
                <w:rFonts w:cs="宋体" w:hint="default"/>
                <w:sz w:val="18"/>
                <w:szCs w:val="18"/>
              </w:rPr>
            </w:pPr>
            <w:r>
              <w:rPr>
                <w:rFonts w:cs="宋体"/>
                <w:sz w:val="18"/>
                <w:szCs w:val="18"/>
              </w:rPr>
              <w:t>能力</w:t>
            </w:r>
          </w:p>
        </w:tc>
        <w:tc>
          <w:tcPr>
            <w:tcW w:w="1009" w:type="dxa"/>
            <w:vMerge w:val="restart"/>
            <w:vAlign w:val="center"/>
          </w:tcPr>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18.</w:t>
            </w:r>
            <w:r>
              <w:rPr>
                <w:rFonts w:cs="宋体"/>
                <w:sz w:val="18"/>
                <w:szCs w:val="18"/>
              </w:rPr>
              <w:t>加强队伍建设</w:t>
            </w:r>
          </w:p>
        </w:tc>
        <w:tc>
          <w:tcPr>
            <w:tcW w:w="1422" w:type="dxa"/>
            <w:vAlign w:val="center"/>
          </w:tcPr>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w:t>
            </w:r>
            <w:r>
              <w:rPr>
                <w:rFonts w:cs="宋体"/>
                <w:sz w:val="18"/>
                <w:szCs w:val="18"/>
              </w:rPr>
              <w:t>43</w:t>
            </w:r>
            <w:r>
              <w:rPr>
                <w:rFonts w:cs="宋体"/>
                <w:sz w:val="18"/>
                <w:szCs w:val="18"/>
              </w:rPr>
              <w:t>）深化行政执法队伍建设</w:t>
            </w:r>
          </w:p>
        </w:tc>
        <w:tc>
          <w:tcPr>
            <w:tcW w:w="4913" w:type="dxa"/>
            <w:vAlign w:val="center"/>
          </w:tcPr>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根据行政执法工作任务需要，合理配备行政执法力量，推动执法力量向基层下沉。优化人员结构，鼓励具有法律专业知识、法律工作背景及取得国家法律职业资格的人员从事行政执法工作。</w:t>
            </w:r>
          </w:p>
        </w:tc>
        <w:tc>
          <w:tcPr>
            <w:tcW w:w="855" w:type="dxa"/>
            <w:vMerge w:val="restart"/>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区委编办、区司法局、区直各行政执法机关、各乡镇（街道）按职责分工负责</w:t>
            </w:r>
          </w:p>
        </w:tc>
      </w:tr>
      <w:tr w:rsidR="005D2041">
        <w:trPr>
          <w:trHeight w:val="1800"/>
        </w:trPr>
        <w:tc>
          <w:tcPr>
            <w:tcW w:w="849"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1009"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1422"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44</w:t>
            </w:r>
            <w:r>
              <w:rPr>
                <w:rFonts w:cs="宋体"/>
                <w:sz w:val="18"/>
                <w:szCs w:val="18"/>
              </w:rPr>
              <w:t>）加强行政执法法制审核能力建设</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直各行政执法机关及各乡镇（街道）要加强公职律师和法律顾问队伍建设，合理配备公职律师和法律顾问，充分发挥其在重大执法决定法制审核工作中的作用。整合有关行政执法机关的法制审核力量，建立重大执法决定法制审核协作机制。</w:t>
            </w:r>
          </w:p>
        </w:tc>
        <w:tc>
          <w:tcPr>
            <w:tcW w:w="855" w:type="dxa"/>
            <w:vMerge/>
          </w:tcPr>
          <w:p w:rsidR="005D2041" w:rsidRDefault="005D2041">
            <w:pPr>
              <w:pStyle w:val="3"/>
              <w:spacing w:before="0" w:beforeAutospacing="0" w:after="0" w:afterAutospacing="0" w:line="240" w:lineRule="exact"/>
              <w:outlineLvl w:val="2"/>
              <w:rPr>
                <w:rFonts w:cs="宋体" w:hint="default"/>
                <w:sz w:val="18"/>
                <w:szCs w:val="18"/>
              </w:rPr>
            </w:pPr>
          </w:p>
        </w:tc>
      </w:tr>
      <w:tr w:rsidR="005D2041">
        <w:trPr>
          <w:trHeight w:val="1500"/>
        </w:trPr>
        <w:tc>
          <w:tcPr>
            <w:tcW w:w="849"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1009" w:type="dxa"/>
            <w:vMerge w:val="restart"/>
            <w:vAlign w:val="center"/>
          </w:tcPr>
          <w:p w:rsidR="005D2041" w:rsidRDefault="001D2E27">
            <w:pPr>
              <w:pStyle w:val="3"/>
              <w:spacing w:before="0" w:beforeAutospacing="0" w:after="0" w:afterAutospacing="0" w:line="240" w:lineRule="exact"/>
              <w:outlineLvl w:val="2"/>
              <w:rPr>
                <w:rFonts w:cs="宋体" w:hint="default"/>
                <w:sz w:val="18"/>
                <w:szCs w:val="18"/>
              </w:rPr>
            </w:pPr>
            <w:r>
              <w:rPr>
                <w:rFonts w:cs="宋体"/>
                <w:sz w:val="18"/>
                <w:szCs w:val="18"/>
              </w:rPr>
              <w:t>19.</w:t>
            </w:r>
            <w:r>
              <w:rPr>
                <w:rFonts w:cs="宋体"/>
                <w:sz w:val="18"/>
                <w:szCs w:val="18"/>
              </w:rPr>
              <w:t>强化权益保障</w:t>
            </w:r>
          </w:p>
        </w:tc>
        <w:tc>
          <w:tcPr>
            <w:tcW w:w="1422"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45</w:t>
            </w:r>
            <w:r>
              <w:rPr>
                <w:rFonts w:cs="宋体"/>
                <w:sz w:val="18"/>
                <w:szCs w:val="18"/>
              </w:rPr>
              <w:t>）建立健全行政执法责任追究和尽职免予问责机制</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细化和明确追责、免予问责情形和容错纠错程序，激励执法人员担当作为。</w:t>
            </w:r>
          </w:p>
        </w:tc>
        <w:tc>
          <w:tcPr>
            <w:tcW w:w="855" w:type="dxa"/>
            <w:vMerge w:val="restart"/>
            <w:vAlign w:val="center"/>
          </w:tcPr>
          <w:p w:rsidR="005D2041" w:rsidRDefault="005D2041">
            <w:pPr>
              <w:pStyle w:val="3"/>
              <w:spacing w:before="0" w:beforeAutospacing="0" w:after="0" w:afterAutospacing="0" w:line="240" w:lineRule="exact"/>
              <w:jc w:val="both"/>
              <w:outlineLvl w:val="2"/>
              <w:rPr>
                <w:rFonts w:cs="宋体" w:hint="default"/>
                <w:sz w:val="18"/>
                <w:szCs w:val="18"/>
              </w:rPr>
            </w:pPr>
          </w:p>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区直各行政执法机关、各乡镇（街道）按职责分工负责</w:t>
            </w:r>
          </w:p>
        </w:tc>
      </w:tr>
      <w:tr w:rsidR="005D2041">
        <w:trPr>
          <w:trHeight w:val="1390"/>
        </w:trPr>
        <w:tc>
          <w:tcPr>
            <w:tcW w:w="849"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1009"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1422"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46</w:t>
            </w:r>
            <w:r>
              <w:rPr>
                <w:rFonts w:cs="宋体"/>
                <w:sz w:val="18"/>
                <w:szCs w:val="18"/>
              </w:rPr>
              <w:t>）落实和完善执法人员工资待遇政策</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依法为基层一线行政执法人员办理保险，强化行政执法人员职业保障。</w:t>
            </w:r>
          </w:p>
        </w:tc>
        <w:tc>
          <w:tcPr>
            <w:tcW w:w="855" w:type="dxa"/>
            <w:vMerge/>
          </w:tcPr>
          <w:p w:rsidR="005D2041" w:rsidRDefault="005D2041">
            <w:pPr>
              <w:pStyle w:val="3"/>
              <w:spacing w:before="0" w:beforeAutospacing="0" w:after="0" w:afterAutospacing="0" w:line="240" w:lineRule="exact"/>
              <w:outlineLvl w:val="2"/>
              <w:rPr>
                <w:rFonts w:cs="宋体" w:hint="default"/>
                <w:sz w:val="18"/>
                <w:szCs w:val="18"/>
              </w:rPr>
            </w:pPr>
          </w:p>
        </w:tc>
      </w:tr>
      <w:tr w:rsidR="005D2041">
        <w:trPr>
          <w:trHeight w:val="1645"/>
        </w:trPr>
        <w:tc>
          <w:tcPr>
            <w:tcW w:w="849"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1009"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1422"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47</w:t>
            </w:r>
            <w:r>
              <w:rPr>
                <w:rFonts w:cs="宋体"/>
                <w:sz w:val="18"/>
                <w:szCs w:val="18"/>
              </w:rPr>
              <w:t>）完善行政执法人员心理咨询服务和危机干预机制</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及时开展情绪疏导、心理咨询、危机干预，保障执法人员心理健康。</w:t>
            </w:r>
          </w:p>
        </w:tc>
        <w:tc>
          <w:tcPr>
            <w:tcW w:w="855" w:type="dxa"/>
            <w:vMerge/>
          </w:tcPr>
          <w:p w:rsidR="005D2041" w:rsidRDefault="005D2041">
            <w:pPr>
              <w:pStyle w:val="3"/>
              <w:spacing w:before="0" w:beforeAutospacing="0" w:after="0" w:afterAutospacing="0" w:line="240" w:lineRule="exact"/>
              <w:outlineLvl w:val="2"/>
              <w:rPr>
                <w:rFonts w:cs="宋体" w:hint="default"/>
                <w:sz w:val="18"/>
                <w:szCs w:val="18"/>
              </w:rPr>
            </w:pPr>
          </w:p>
        </w:tc>
      </w:tr>
      <w:tr w:rsidR="005D2041">
        <w:trPr>
          <w:trHeight w:val="1570"/>
        </w:trPr>
        <w:tc>
          <w:tcPr>
            <w:tcW w:w="849"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1009" w:type="dxa"/>
            <w:vMerge w:val="restart"/>
            <w:vAlign w:val="center"/>
          </w:tcPr>
          <w:p w:rsidR="005D2041" w:rsidRDefault="001D2E27">
            <w:pPr>
              <w:pStyle w:val="3"/>
              <w:numPr>
                <w:ilvl w:val="0"/>
                <w:numId w:val="6"/>
              </w:numPr>
              <w:spacing w:before="0" w:beforeAutospacing="0" w:after="0" w:afterAutospacing="0" w:line="240" w:lineRule="exact"/>
              <w:outlineLvl w:val="2"/>
              <w:rPr>
                <w:rFonts w:cs="宋体" w:hint="default"/>
                <w:spacing w:val="-6"/>
                <w:sz w:val="18"/>
                <w:szCs w:val="18"/>
              </w:rPr>
            </w:pPr>
            <w:r>
              <w:rPr>
                <w:rFonts w:cs="宋体"/>
                <w:spacing w:val="-6"/>
                <w:sz w:val="18"/>
                <w:szCs w:val="18"/>
              </w:rPr>
              <w:t>加大</w:t>
            </w:r>
          </w:p>
          <w:p w:rsidR="005D2041" w:rsidRDefault="001D2E27">
            <w:pPr>
              <w:pStyle w:val="3"/>
              <w:spacing w:before="0" w:beforeAutospacing="0" w:after="0" w:afterAutospacing="0" w:line="240" w:lineRule="exact"/>
              <w:outlineLvl w:val="2"/>
              <w:rPr>
                <w:rFonts w:cs="宋体" w:hint="default"/>
                <w:sz w:val="18"/>
                <w:szCs w:val="18"/>
              </w:rPr>
            </w:pPr>
            <w:r>
              <w:rPr>
                <w:rFonts w:cs="宋体"/>
                <w:spacing w:val="-6"/>
                <w:sz w:val="18"/>
                <w:szCs w:val="18"/>
              </w:rPr>
              <w:t>财政支持力度</w:t>
            </w:r>
          </w:p>
        </w:tc>
        <w:tc>
          <w:tcPr>
            <w:tcW w:w="1422"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48</w:t>
            </w:r>
            <w:r>
              <w:rPr>
                <w:rFonts w:cs="宋体"/>
                <w:sz w:val="18"/>
                <w:szCs w:val="18"/>
              </w:rPr>
              <w:t>）强化行政执法工作的经费预算保障</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要按照财政事权和支出责任划分原则，将行政执法工作经费、执法装备配备费用纳入本级预算。</w:t>
            </w:r>
          </w:p>
        </w:tc>
        <w:tc>
          <w:tcPr>
            <w:tcW w:w="855" w:type="dxa"/>
            <w:vMerge w:val="restart"/>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区财政局、区直各行政执法机关、各乡镇（街道）按职责分工负责</w:t>
            </w:r>
          </w:p>
        </w:tc>
      </w:tr>
      <w:tr w:rsidR="005D2041">
        <w:trPr>
          <w:trHeight w:val="1725"/>
        </w:trPr>
        <w:tc>
          <w:tcPr>
            <w:tcW w:w="849"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1009" w:type="dxa"/>
            <w:vMerge/>
          </w:tcPr>
          <w:p w:rsidR="005D2041" w:rsidRDefault="005D2041">
            <w:pPr>
              <w:pStyle w:val="3"/>
              <w:spacing w:before="0" w:beforeAutospacing="0" w:after="0" w:afterAutospacing="0" w:line="240" w:lineRule="exact"/>
              <w:outlineLvl w:val="2"/>
              <w:rPr>
                <w:rFonts w:cs="宋体" w:hint="default"/>
                <w:sz w:val="18"/>
                <w:szCs w:val="18"/>
              </w:rPr>
            </w:pPr>
          </w:p>
        </w:tc>
        <w:tc>
          <w:tcPr>
            <w:tcW w:w="1422"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w:t>
            </w:r>
            <w:r>
              <w:rPr>
                <w:rFonts w:cs="宋体"/>
                <w:sz w:val="18"/>
                <w:szCs w:val="18"/>
              </w:rPr>
              <w:t>49</w:t>
            </w:r>
            <w:r>
              <w:rPr>
                <w:rFonts w:cs="宋体"/>
                <w:sz w:val="18"/>
                <w:szCs w:val="18"/>
              </w:rPr>
              <w:t>）合理保障行政执法经费投入力度</w:t>
            </w:r>
          </w:p>
        </w:tc>
        <w:tc>
          <w:tcPr>
            <w:tcW w:w="4913" w:type="dxa"/>
            <w:vAlign w:val="center"/>
          </w:tcPr>
          <w:p w:rsidR="005D2041" w:rsidRDefault="001D2E27">
            <w:pPr>
              <w:pStyle w:val="3"/>
              <w:spacing w:before="0" w:beforeAutospacing="0" w:after="0" w:afterAutospacing="0" w:line="240" w:lineRule="exact"/>
              <w:jc w:val="both"/>
              <w:outlineLvl w:val="2"/>
              <w:rPr>
                <w:rFonts w:cs="宋体" w:hint="default"/>
                <w:sz w:val="18"/>
                <w:szCs w:val="18"/>
              </w:rPr>
            </w:pPr>
            <w:r>
              <w:rPr>
                <w:rFonts w:cs="宋体"/>
                <w:sz w:val="18"/>
                <w:szCs w:val="18"/>
              </w:rPr>
              <w:t>结合本地财政实际，优先做好办公用品、执法场所、制式服装、调查取证装备和执法车辆等基础设施设备的经费保障，切实保障行政执法工作需要。</w:t>
            </w:r>
          </w:p>
        </w:tc>
        <w:tc>
          <w:tcPr>
            <w:tcW w:w="855" w:type="dxa"/>
            <w:vMerge/>
          </w:tcPr>
          <w:p w:rsidR="005D2041" w:rsidRDefault="005D2041">
            <w:pPr>
              <w:pStyle w:val="3"/>
              <w:spacing w:before="0" w:beforeAutospacing="0" w:after="0" w:afterAutospacing="0" w:line="240" w:lineRule="exact"/>
              <w:outlineLvl w:val="2"/>
              <w:rPr>
                <w:rFonts w:cs="宋体" w:hint="default"/>
                <w:sz w:val="18"/>
                <w:szCs w:val="18"/>
              </w:rPr>
            </w:pPr>
          </w:p>
        </w:tc>
      </w:tr>
    </w:tbl>
    <w:p w:rsidR="005D2041" w:rsidRDefault="005D2041">
      <w:pPr>
        <w:spacing w:line="546" w:lineRule="exact"/>
      </w:pPr>
    </w:p>
    <w:sectPr w:rsidR="005D2041" w:rsidSect="005D2041">
      <w:footerReference w:type="even" r:id="rId8"/>
      <w:footerReference w:type="default" r:id="rId9"/>
      <w:pgSz w:w="11906" w:h="16838"/>
      <w:pgMar w:top="2098" w:right="1531" w:bottom="1984" w:left="1531" w:header="851" w:footer="1871" w:gutter="0"/>
      <w:pgNumType w:fmt="numberInDash"/>
      <w:cols w:space="72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27" w:rsidRDefault="001D2E27" w:rsidP="005D2041">
      <w:r>
        <w:separator/>
      </w:r>
    </w:p>
  </w:endnote>
  <w:endnote w:type="continuationSeparator" w:id="0">
    <w:p w:rsidR="001D2E27" w:rsidRDefault="001D2E27" w:rsidP="005D20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00007843"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41" w:rsidRDefault="005D2041">
    <w:pPr>
      <w:pStyle w:val="a3"/>
    </w:pPr>
    <w:r>
      <w:pict>
        <v:rect id="文本框 3" o:spid="_x0000_s2049" style="position:absolute;margin-left:104pt;margin-top:0;width:2in;height:2in;z-index:251659264;mso-wrap-style:none;mso-position-horizontal:outside;mso-position-horizontal-relative:margin" o:preferrelative="t" filled="f" stroked="f">
          <v:textbox style="mso-fit-shape-to-text:t" inset="0,0,0,0">
            <w:txbxContent>
              <w:p w:rsidR="005D2041" w:rsidRDefault="005D2041">
                <w:pPr>
                  <w:snapToGrid w:val="0"/>
                  <w:rPr>
                    <w:sz w:val="18"/>
                  </w:rPr>
                </w:pPr>
                <w:r>
                  <w:rPr>
                    <w:rFonts w:ascii="宋体" w:hAnsi="宋体" w:cs="宋体" w:hint="eastAsia"/>
                    <w:sz w:val="28"/>
                    <w:szCs w:val="28"/>
                  </w:rPr>
                  <w:fldChar w:fldCharType="begin"/>
                </w:r>
                <w:r w:rsidR="001D2E27">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94CC2" w:rsidRPr="00C94CC2">
                  <w:rPr>
                    <w:noProof/>
                  </w:rPr>
                  <w:t>- 2 -</w:t>
                </w:r>
                <w:r>
                  <w:rPr>
                    <w:rFonts w:ascii="宋体" w:hAnsi="宋体" w:cs="宋体" w:hint="eastAsia"/>
                    <w:sz w:val="28"/>
                    <w:szCs w:val="28"/>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041" w:rsidRDefault="005D2041">
    <w:pPr>
      <w:pStyle w:val="a3"/>
    </w:pPr>
    <w:r>
      <w:pict>
        <v:rect id="文本框 2" o:spid="_x0000_s2050" style="position:absolute;margin-left:104pt;margin-top:0;width:2in;height:2in;z-index:251658240;mso-wrap-style:none;mso-position-horizontal:outside;mso-position-horizontal-relative:margin" o:preferrelative="t" filled="f" stroked="f">
          <v:textbox style="mso-fit-shape-to-text:t" inset="0,0,0,0">
            <w:txbxContent>
              <w:p w:rsidR="005D2041" w:rsidRDefault="005D2041">
                <w:pPr>
                  <w:snapToGrid w:val="0"/>
                  <w:rPr>
                    <w:sz w:val="18"/>
                  </w:rPr>
                </w:pPr>
                <w:r>
                  <w:rPr>
                    <w:rFonts w:ascii="宋体" w:hAnsi="宋体" w:cs="宋体" w:hint="eastAsia"/>
                    <w:sz w:val="28"/>
                    <w:szCs w:val="28"/>
                  </w:rPr>
                  <w:fldChar w:fldCharType="begin"/>
                </w:r>
                <w:r w:rsidR="001D2E27">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94CC2" w:rsidRPr="00C94CC2">
                  <w:rPr>
                    <w:noProof/>
                  </w:rPr>
                  <w:t>- 1 -</w:t>
                </w:r>
                <w:r>
                  <w:rPr>
                    <w:rFonts w:ascii="宋体" w:hAnsi="宋体" w:cs="宋体"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27" w:rsidRDefault="001D2E27" w:rsidP="005D2041">
      <w:r>
        <w:separator/>
      </w:r>
    </w:p>
  </w:footnote>
  <w:footnote w:type="continuationSeparator" w:id="0">
    <w:p w:rsidR="001D2E27" w:rsidRDefault="001D2E27" w:rsidP="005D20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E4638"/>
    <w:multiLevelType w:val="singleLevel"/>
    <w:tmpl w:val="478E4638"/>
    <w:lvl w:ilvl="0">
      <w:start w:val="1"/>
      <w:numFmt w:val="decimal"/>
      <w:suff w:val="nothing"/>
      <w:lvlText w:val="%1."/>
      <w:lvlJc w:val="left"/>
    </w:lvl>
  </w:abstractNum>
  <w:abstractNum w:abstractNumId="1">
    <w:nsid w:val="478E4CE7"/>
    <w:multiLevelType w:val="singleLevel"/>
    <w:tmpl w:val="478E4CE7"/>
    <w:lvl w:ilvl="0">
      <w:start w:val="5"/>
      <w:numFmt w:val="chineseCounting"/>
      <w:suff w:val="nothing"/>
      <w:lvlText w:val="%1、"/>
      <w:lvlJc w:val="left"/>
    </w:lvl>
  </w:abstractNum>
  <w:abstractNum w:abstractNumId="2">
    <w:nsid w:val="6614A99C"/>
    <w:multiLevelType w:val="singleLevel"/>
    <w:tmpl w:val="6614A99C"/>
    <w:lvl w:ilvl="0">
      <w:start w:val="4"/>
      <w:numFmt w:val="decimal"/>
      <w:suff w:val="nothing"/>
      <w:lvlText w:val="%1."/>
      <w:lvlJc w:val="left"/>
    </w:lvl>
  </w:abstractNum>
  <w:abstractNum w:abstractNumId="3">
    <w:nsid w:val="6614A9CB"/>
    <w:multiLevelType w:val="singleLevel"/>
    <w:tmpl w:val="6614A9CB"/>
    <w:lvl w:ilvl="0">
      <w:start w:val="14"/>
      <w:numFmt w:val="decimal"/>
      <w:suff w:val="nothing"/>
      <w:lvlText w:val="%1."/>
      <w:lvlJc w:val="left"/>
    </w:lvl>
  </w:abstractNum>
  <w:abstractNum w:abstractNumId="4">
    <w:nsid w:val="6614A9EA"/>
    <w:multiLevelType w:val="singleLevel"/>
    <w:tmpl w:val="6614A9EA"/>
    <w:lvl w:ilvl="0">
      <w:start w:val="17"/>
      <w:numFmt w:val="decimal"/>
      <w:suff w:val="nothing"/>
      <w:lvlText w:val="%1."/>
      <w:lvlJc w:val="left"/>
    </w:lvl>
  </w:abstractNum>
  <w:abstractNum w:abstractNumId="5">
    <w:nsid w:val="6614A9FE"/>
    <w:multiLevelType w:val="singleLevel"/>
    <w:tmpl w:val="6614A9FE"/>
    <w:lvl w:ilvl="0">
      <w:start w:val="20"/>
      <w:numFmt w:val="decimal"/>
      <w:suff w:val="nothing"/>
      <w:lvlText w:val="%1."/>
      <w:lvlJc w:val="left"/>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cumentProtection w:edit="readOnly" w:enforcement="0"/>
  <w:defaultTabStop w:val="420"/>
  <w:evenAndOddHeaders/>
  <w:drawingGridVerticalSpacing w:val="159"/>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zk4MDFhNDQzZTc1NmI2YWMzODBmMjAwYTdkMmQyNDAifQ=="/>
    <w:docVar w:name="KGWebUrl" w:val="http://59.195.96.177:8080/seeyon/officeservlet"/>
  </w:docVars>
  <w:rsids>
    <w:rsidRoot w:val="00172A27"/>
    <w:rsid w:val="D6F726C5"/>
    <w:rsid w:val="E3DA03C7"/>
    <w:rsid w:val="F7DF0B9F"/>
    <w:rsid w:val="FBF7BDF4"/>
    <w:rsid w:val="FF074675"/>
    <w:rsid w:val="00172A27"/>
    <w:rsid w:val="001D2E27"/>
    <w:rsid w:val="005D2041"/>
    <w:rsid w:val="00B57B36"/>
    <w:rsid w:val="00C94CC2"/>
    <w:rsid w:val="00CB69FE"/>
    <w:rsid w:val="02815E70"/>
    <w:rsid w:val="07310BAC"/>
    <w:rsid w:val="076D29BD"/>
    <w:rsid w:val="09DE12BD"/>
    <w:rsid w:val="0A471422"/>
    <w:rsid w:val="0A593053"/>
    <w:rsid w:val="0A664130"/>
    <w:rsid w:val="0A7F7649"/>
    <w:rsid w:val="0C7F638D"/>
    <w:rsid w:val="0E1B1632"/>
    <w:rsid w:val="0F152657"/>
    <w:rsid w:val="11DB5E71"/>
    <w:rsid w:val="12F14909"/>
    <w:rsid w:val="14A35CE8"/>
    <w:rsid w:val="16134C45"/>
    <w:rsid w:val="1A870110"/>
    <w:rsid w:val="1D31749B"/>
    <w:rsid w:val="209A3C21"/>
    <w:rsid w:val="25330120"/>
    <w:rsid w:val="25C43B01"/>
    <w:rsid w:val="25F2358F"/>
    <w:rsid w:val="26F31389"/>
    <w:rsid w:val="27540265"/>
    <w:rsid w:val="290C2E7A"/>
    <w:rsid w:val="2A2D713F"/>
    <w:rsid w:val="2BD339A0"/>
    <w:rsid w:val="2E5E74D9"/>
    <w:rsid w:val="2E7D3072"/>
    <w:rsid w:val="2FD7548C"/>
    <w:rsid w:val="305A1993"/>
    <w:rsid w:val="31434FCB"/>
    <w:rsid w:val="31871B22"/>
    <w:rsid w:val="31F95F89"/>
    <w:rsid w:val="32D10D09"/>
    <w:rsid w:val="331F61ED"/>
    <w:rsid w:val="353813E5"/>
    <w:rsid w:val="36917998"/>
    <w:rsid w:val="36C41867"/>
    <w:rsid w:val="39793CCD"/>
    <w:rsid w:val="3AE64A27"/>
    <w:rsid w:val="3CF34265"/>
    <w:rsid w:val="3E4E386A"/>
    <w:rsid w:val="3EC53BC2"/>
    <w:rsid w:val="3EDB65EE"/>
    <w:rsid w:val="3F357E07"/>
    <w:rsid w:val="411D1161"/>
    <w:rsid w:val="43DB6B74"/>
    <w:rsid w:val="48147905"/>
    <w:rsid w:val="4ACB2B41"/>
    <w:rsid w:val="4BC21764"/>
    <w:rsid w:val="4E9D439E"/>
    <w:rsid w:val="4EA570D2"/>
    <w:rsid w:val="50E406A3"/>
    <w:rsid w:val="51384450"/>
    <w:rsid w:val="520D5CB7"/>
    <w:rsid w:val="52CA1363"/>
    <w:rsid w:val="52D67374"/>
    <w:rsid w:val="54DE7749"/>
    <w:rsid w:val="55774444"/>
    <w:rsid w:val="56940EC6"/>
    <w:rsid w:val="596F7044"/>
    <w:rsid w:val="5985120F"/>
    <w:rsid w:val="5A6B606B"/>
    <w:rsid w:val="5BFF6263"/>
    <w:rsid w:val="5D230C5E"/>
    <w:rsid w:val="5DA62130"/>
    <w:rsid w:val="5F401706"/>
    <w:rsid w:val="5FDE2B08"/>
    <w:rsid w:val="60924CB1"/>
    <w:rsid w:val="61351088"/>
    <w:rsid w:val="63397253"/>
    <w:rsid w:val="6511265D"/>
    <w:rsid w:val="66D8451B"/>
    <w:rsid w:val="676966A4"/>
    <w:rsid w:val="68106929"/>
    <w:rsid w:val="6BCE176C"/>
    <w:rsid w:val="6BEE7AA2"/>
    <w:rsid w:val="6C2B78C7"/>
    <w:rsid w:val="6F285C6B"/>
    <w:rsid w:val="722143F9"/>
    <w:rsid w:val="74830CC4"/>
    <w:rsid w:val="74B62489"/>
    <w:rsid w:val="75356223"/>
    <w:rsid w:val="754622E9"/>
    <w:rsid w:val="75F0310B"/>
    <w:rsid w:val="75FE122D"/>
    <w:rsid w:val="76BF24DE"/>
    <w:rsid w:val="77FA47E4"/>
    <w:rsid w:val="7BB64C5A"/>
    <w:rsid w:val="7E8B17AA"/>
    <w:rsid w:val="7F0B3BA3"/>
    <w:rsid w:val="7FF973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5D2041"/>
    <w:pPr>
      <w:widowControl w:val="0"/>
      <w:jc w:val="both"/>
    </w:pPr>
    <w:rPr>
      <w:rFonts w:cs="Times New Roman"/>
      <w:kern w:val="2"/>
      <w:sz w:val="21"/>
      <w:szCs w:val="24"/>
    </w:rPr>
  </w:style>
  <w:style w:type="paragraph" w:styleId="3">
    <w:name w:val="heading 3"/>
    <w:basedOn w:val="a"/>
    <w:next w:val="a"/>
    <w:uiPriority w:val="9"/>
    <w:unhideWhenUsed/>
    <w:qFormat/>
    <w:rsid w:val="005D2041"/>
    <w:pPr>
      <w:kinsoku w:val="0"/>
      <w:autoSpaceDE w:val="0"/>
      <w:autoSpaceDN w:val="0"/>
      <w:spacing w:before="100" w:beforeAutospacing="1" w:after="100" w:afterAutospacing="1"/>
      <w:jc w:val="left"/>
      <w:textAlignment w:val="baseline"/>
      <w:outlineLvl w:val="2"/>
    </w:pPr>
    <w:rPr>
      <w:rFonts w:ascii="宋体" w:hAnsi="宋体" w:cs="Arial" w:hint="eastAsia"/>
      <w:b/>
      <w:snapToGrid w:val="0"/>
      <w:color w:val="000000"/>
      <w:kern w:val="0"/>
      <w:sz w:val="27"/>
      <w:szCs w:val="27"/>
    </w:rPr>
  </w:style>
  <w:style w:type="paragraph" w:styleId="4">
    <w:name w:val="heading 4"/>
    <w:basedOn w:val="a"/>
    <w:next w:val="a"/>
    <w:unhideWhenUsed/>
    <w:qFormat/>
    <w:rsid w:val="005D2041"/>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D2041"/>
    <w:pPr>
      <w:tabs>
        <w:tab w:val="center" w:pos="4153"/>
        <w:tab w:val="right" w:pos="8306"/>
      </w:tabs>
      <w:snapToGrid w:val="0"/>
      <w:jc w:val="left"/>
    </w:pPr>
    <w:rPr>
      <w:sz w:val="18"/>
    </w:rPr>
  </w:style>
  <w:style w:type="paragraph" w:styleId="a4">
    <w:name w:val="Normal (Web)"/>
    <w:basedOn w:val="a"/>
    <w:qFormat/>
    <w:rsid w:val="005D2041"/>
    <w:pPr>
      <w:spacing w:beforeAutospacing="1" w:afterAutospacing="1"/>
      <w:jc w:val="left"/>
    </w:pPr>
    <w:rPr>
      <w:kern w:val="0"/>
      <w:sz w:val="24"/>
    </w:rPr>
  </w:style>
  <w:style w:type="table" w:styleId="a5">
    <w:name w:val="Table Grid"/>
    <w:basedOn w:val="a1"/>
    <w:qFormat/>
    <w:rsid w:val="005D20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819</Words>
  <Characters>4670</Characters>
  <Application>Microsoft Office Word</Application>
  <DocSecurity>0</DocSecurity>
  <Lines>38</Lines>
  <Paragraphs>10</Paragraphs>
  <ScaleCrop>false</ScaleCrop>
  <Company/>
  <LinksUpToDate>false</LinksUpToDate>
  <CharactersWithSpaces>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长治市人民政府办公室</dc:title>
  <dc:creator>张韬</dc:creator>
  <cp:lastModifiedBy>Administrator</cp:lastModifiedBy>
  <cp:revision>2</cp:revision>
  <cp:lastPrinted>2024-04-09T02:50:00Z</cp:lastPrinted>
  <dcterms:created xsi:type="dcterms:W3CDTF">2024-04-17T07:20:00Z</dcterms:created>
  <dcterms:modified xsi:type="dcterms:W3CDTF">2024-04-17T07:20:00Z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y fmtid="{D5CDD505-2E9C-101B-9397-08002B2CF9AE}" pid="3" name="ICV">
    <vt:lpwstr>AD47995FA0094EE88FE7364405A5E40F_13</vt:lpwstr>
  </property>
</Properties>
</file>