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BC517">
      <w:pPr>
        <w:spacing w:line="560" w:lineRule="exact"/>
        <w:rPr>
          <w:rFonts w:hint="eastAsia" w:ascii="黑体" w:hAnsi="黑体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：</w:t>
      </w:r>
    </w:p>
    <w:tbl>
      <w:tblPr>
        <w:tblStyle w:val="4"/>
        <w:tblW w:w="15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0"/>
      </w:tblGrid>
      <w:tr w14:paraId="5B9F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4"/>
              <w:tblW w:w="1599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512"/>
              <w:gridCol w:w="1825"/>
              <w:gridCol w:w="1530"/>
              <w:gridCol w:w="1491"/>
              <w:gridCol w:w="2953"/>
              <w:gridCol w:w="1853"/>
              <w:gridCol w:w="1909"/>
              <w:gridCol w:w="1018"/>
              <w:gridCol w:w="1895"/>
              <w:gridCol w:w="5"/>
            </w:tblGrid>
            <w:tr w14:paraId="45D88E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996" w:hRule="atLeast"/>
              </w:trPr>
              <w:tc>
                <w:tcPr>
                  <w:tcW w:w="160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B3F1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44"/>
                      <w:szCs w:val="44"/>
                      <w:u w:val="none"/>
                    </w:rPr>
                  </w:pPr>
                  <w:bookmarkStart w:id="0" w:name="_GoBack"/>
                  <w:r>
                    <w:rPr>
                      <w:rFonts w:hint="eastAsia" w:ascii="黑体" w:hAnsi="黑体" w:eastAsia="黑体" w:cs="黑体"/>
                      <w:i w:val="0"/>
                      <w:iCs w:val="0"/>
                      <w:color w:val="000000"/>
                      <w:kern w:val="0"/>
                      <w:sz w:val="44"/>
                      <w:szCs w:val="44"/>
                      <w:u w:val="none"/>
                      <w:lang w:val="en-US" w:eastAsia="zh-CN" w:bidi="ar"/>
                    </w:rPr>
                    <w:t>潞城区2025年度部门联合双随机抽查工作计划</w:t>
                  </w:r>
                  <w:bookmarkEnd w:id="0"/>
                </w:p>
              </w:tc>
            </w:tr>
            <w:tr w14:paraId="3E0DA7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D23C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E62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抽查任务名称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BB4B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抽查事项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C953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抽查对象范围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5BBB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抽查比例及频次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1BA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智慧监管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（信用风险分类）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7FE6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抽查检查起止时间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B1B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发起部门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100A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配合部门</w:t>
                  </w:r>
                </w:p>
              </w:tc>
            </w:tr>
            <w:tr w14:paraId="786B14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16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11A20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C36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对学校食堂食品安全情况、中小学教育装备及特种设备的双随机抽查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0369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学校食堂食品安全情况、中小学教育装备产品（含文体教育用品、教学仪器、音体美卫器材、信息技术装备、课桌椅、校服等）的检查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DF1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本辖区内各类学校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376A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0CEF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84D8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49CB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区市场监督管理局、区教育局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7E1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区卫体局</w:t>
                  </w:r>
                </w:p>
              </w:tc>
            </w:tr>
            <w:tr w14:paraId="41BEDA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D2768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1E2D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机动车排放检验机构检测情况抽查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D195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机动车排放检验情况和设备使用情况检查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C4F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本辖区内机动车排放检验单位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8D1C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311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CF7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2025.7至2025.11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C24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D96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区生态环保分局、区公安分局</w:t>
                  </w:r>
                </w:p>
              </w:tc>
            </w:tr>
            <w:tr w14:paraId="6B4A00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20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6F8A6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056D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粮食经营者监督检查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12BD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对粮食经营者从事收购、储存、运输活动和政策性粮食购销活动的监督检查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1DE4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本辖区内粮食经营者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2EB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1F15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AF7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8274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3E4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区发改局</w:t>
                  </w:r>
                </w:p>
              </w:tc>
            </w:tr>
            <w:tr w14:paraId="2F2115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089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3ACA3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B9F3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房地产市场价格执法检查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68E0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房地产市场价格监督执法检查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7327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房地产从业单位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D38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抽查比例不低于30%；抽查1次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127C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根据企业信用分类结果，对低风险、一般风险、较高风险、高风险企业分别递加抽查比例、频次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81E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2025.4至2025.5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354E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区住建局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B968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6DE497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383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5EF6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1517E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燃气经营监督执法检查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273FA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燃气经营许可证取得情况的检查、燃气经营监督执法检查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C7DB2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燃气经营企业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EF700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抽查比例不低于50%；抽查1次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5A3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EBD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2025.03至2025.9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8D03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区住建局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3C0A1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586358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48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094AA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42C4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劳动用工监督检查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75DC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工资支付情况、劳务派遣等劳动用工情况检查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A6C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本辖区所有用工单位、劳务派遣经营单位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2F9D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抽查比例不低于30%，抽查1次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7CDB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7444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2025.04至2025.11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D92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区人力资源和社会保障局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E85F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区住房和城乡建设局、区市场监管局</w:t>
                  </w:r>
                </w:p>
              </w:tc>
            </w:tr>
            <w:tr w14:paraId="2E5E1C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88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989DE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FA70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道路危险货物运输企业检查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3C42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道路运输相关法律法规执行情况                       企业经营资质是否符合要求                      从业人员证件是否齐全有效                            营运车辆证件是否齐全有效   企业诚信经营情况                            企业税收缴纳情况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731D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本辖区取得道路危险货物运输经营许可的企业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AFC4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抽查比例不低于40%；抽查1次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A233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306C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2025.04至2025.11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5879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区交通运输局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EEB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区市场监管局                        </w:t>
                  </w:r>
                </w:p>
              </w:tc>
            </w:tr>
            <w:tr w14:paraId="50617A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55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D2F67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378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互联网上网营业场所（网吧）、娱乐场所经营活动的检查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9BFC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互联网上网服务营业场所经营单位、娱乐场所取得许可证情况、经营情况检查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D573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全区依法从事网吧经营许可、取得从事娱乐场所经营许可证的单位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7F81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抽查比例不低于5%，抽查1次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4CC2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153F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512E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区文化和旅游局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572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区公安分局、区市场监管局</w:t>
                  </w:r>
                </w:p>
              </w:tc>
            </w:tr>
            <w:tr w14:paraId="48A6D3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00" w:hRule="atLeast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87AC2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D31D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旅行社行业监管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AA3C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旅行社取得许可证情况、经营情况的检查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FC74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本辖区旅行社</w:t>
                  </w:r>
                </w:p>
              </w:tc>
              <w:tc>
                <w:tcPr>
                  <w:tcW w:w="31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912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抽查比例不低于5%，抽查1次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14B8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AF6F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1579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区文化和旅游局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0AF2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72AD81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60" w:hRule="atLeast"/>
              </w:trPr>
              <w:tc>
                <w:tcPr>
                  <w:tcW w:w="54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37B8A3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1E27C1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6BEA58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5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4FB750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553769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143AF1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64DCCD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AC007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0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65B6A1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4F2D2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B9F97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FC1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汽车市场监管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9FE0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新车销售、二手车交易市场活动监管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C45B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本辖区新车销售、二手车经营主体企业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348E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C2CA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9955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2025.4至2025.10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DA61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区政府招商中心（长治市潞城区商务中心）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21A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550E72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32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DA57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5FDC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学校开展气象防灾减灾教育的检查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E7BE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对学校开展气象灾害防御教育的检查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5A3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全区各类学校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A938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抽查比例不低于20%，抽查1次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DCC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7AAB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3D0B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气象局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2DB2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区教育局</w:t>
                  </w:r>
                </w:p>
              </w:tc>
            </w:tr>
            <w:tr w14:paraId="5B5244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E61AE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56F7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涉烟经营活动检查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3AF3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对物流、寄递企业运输烟草制品、经营卷烟零售业务情况的检查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B7FD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各类物流、寄递、经营卷烟零售业务的企业及个人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B2F5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抽查比例不低于5%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5F89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5BFE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2025年4月至6月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35E1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长治市潞城区烟草专卖局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C69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区市场监管局、区气象局</w:t>
                  </w:r>
                </w:p>
              </w:tc>
            </w:tr>
            <w:tr w14:paraId="58B675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4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B6171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F793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对农药、肥料、农作物种子生产经营活动的双随机抽查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A67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农药、肥料、农作物种子监督检查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A199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本辖区内的农药、肥料、农作物种子经营门店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5CFF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607B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0848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2025.4至2025.11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B3D9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长治市农业综合行政执法队潞城大队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4B5D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75356A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AF39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8175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对饲料、饲料添加剂和养殖场的生产活动的双随机检查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6D57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兽药使用、养殖档案、饲料和饲料添加剂监督检查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8EFC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本辖区内饲料、饲料添加剂、兽药经营门店和畜禽养殖企业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55F7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7D15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0E3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2025.4至2025.11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77D0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长治市农业综合行政执法队潞城大队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816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29F922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500E0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6E18F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生态环境监测机构监督检查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27FBF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生态环境监测机构监测情况的检查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06C67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本辖区获得认证资质的检验检测机构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9F6F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抽查比例50%，抽查1次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DC5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A59D8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2025.3至2025.6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75490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区生态环保分局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FA6B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1E80B4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31C1A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1AA59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城镇污水处理设施污染防治双随机抽查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C39DD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污水处理设施污染防治情况的检查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D1BDC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全区范围内城镇污水处理厂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E9F9C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抽查比例20%，抽查1次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7E4D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34926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2025.3至2025.6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02059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区生态环保分局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8BC52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区住建局</w:t>
                  </w:r>
                </w:p>
              </w:tc>
            </w:tr>
            <w:tr w14:paraId="650B82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7A9FF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49102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对统计调查对象的统计抽查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B8DE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调查对象依法提供统计资料情况的检查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23183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全区统计调查对象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C6C88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B1A9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BFA1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2025.4至2025.11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571DE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区统计局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9891F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区市场监管局、区税务局</w:t>
                  </w:r>
                </w:p>
              </w:tc>
            </w:tr>
            <w:tr w14:paraId="7D59F8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35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15409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D3E3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民办招生办学情况的抽查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84BF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面向中小学生的校外培训机构取得证照、收费、办学情况的检查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712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校外培训机构、民办幼儿园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98D9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抽查比例不低于30%；抽查1次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22CB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6B542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0D64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区教育局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EDF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区市场监管</w:t>
                  </w:r>
                </w:p>
              </w:tc>
            </w:tr>
            <w:tr w14:paraId="023C55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4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C73A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179F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林草种子生产经营情况的检查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408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对林木种子、草种生产经营活动的监督检查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279A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本辖区内的林木种子、草种生产经营单位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1785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抽查比例不低于50%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11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6FDF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D886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区林业局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6243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</w:tr>
            <w:tr w14:paraId="3AB683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85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301D5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0419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野生动植物领域相关监管抽查检查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A55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对陆生野生动物人工繁育活动、国家重点保护陆生野生动物及其制品经营、利用国家重点保护陆生野生动物及其制品活动的检查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AF9E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本辖区内陆生野生动物人工繁育企业及经营单位、相关制药企业和医疗机构、野生动物展演单位、相关经营企业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DA91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抽查比例不低于50%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CA6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00D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E80D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区林业局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A7CF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</w:tr>
            <w:tr w14:paraId="357A74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1E97A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9D92D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游泳（场）馆、商场（超市）抽查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1C144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游泳（场）馆、商场（超市）取得许可证及卫生管理情况等的检查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FF71C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游泳场（馆）、大型商场（超市）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B560C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抽查比例30%，抽查1次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405D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F0D2D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2025.4至2025.10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EF35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潞城区卫生健康和体育局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F4483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区市场监管局、区政府招商中心（长治市潞城区商务中心）</w:t>
                  </w:r>
                </w:p>
              </w:tc>
            </w:tr>
            <w:tr w14:paraId="55AA37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22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A3199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393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高危险性体育经营活动的检查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03C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是否取得高危经营许可证，安全生产，设施设备、救生员和教练员的数量、资质配备，应急救援预案，经营情况等的检查。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59F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全区行政辖内经营的体育项目的滑雪场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6CCE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抽查比例100%；抽查1次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63D7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根据企业信用风险分类结果，对低风险、一般风险、高风险企业分别递加抽查比例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721C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2025.11至2025.12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62583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潞城区卫生健康和体育局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E030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46570A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270" w:hRule="atLeast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4D64E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9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E6B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人防工程管理监督检查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A3CC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对公用人防工程的监督检查</w:t>
                  </w:r>
                </w:p>
              </w:tc>
              <w:tc>
                <w:tcPr>
                  <w:tcW w:w="15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C820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人防工程使用单位</w:t>
                  </w:r>
                </w:p>
              </w:tc>
              <w:tc>
                <w:tcPr>
                  <w:tcW w:w="31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5D4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抽查比例不低于30%；抽查1次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DAA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一般风险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809A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2025.03至2025.11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F4B8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区发改局</w:t>
                  </w:r>
                </w:p>
              </w:tc>
              <w:tc>
                <w:tcPr>
                  <w:tcW w:w="20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28C3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区消防救援大队</w:t>
                  </w:r>
                </w:p>
              </w:tc>
            </w:tr>
            <w:tr w14:paraId="2E0C0B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60" w:hRule="atLeast"/>
              </w:trPr>
              <w:tc>
                <w:tcPr>
                  <w:tcW w:w="54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2763EE55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1BBB09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962084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83F123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6165AF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9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BB9BC6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0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527721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0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5A5008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0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121F69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1D8CF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20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5A93EE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CAEE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包装装潢、其他印刷品印刷单位抽查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D67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对包装装潢、其他印刷品印刷单位经营情况的检查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745C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包装装潢、其他印刷品印刷单位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B7A0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抽查比例不低于10%，抽查1次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9113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3064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2025年3月至12月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4EC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新闻出版局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A78F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306184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20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76A0BC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028A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出版物零售单位抽查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F6D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对出版物零售单位经营情况的检查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052E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出版物零售单位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2CBC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抽查比例不低于10%，抽查1次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AA08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D69A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2025年3月至12月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DA6A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新闻出版局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D4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区市场监管局</w:t>
                  </w:r>
                </w:p>
              </w:tc>
            </w:tr>
            <w:tr w14:paraId="352D78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20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41C446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9A22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电影院经营单位抽查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ECF1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电影院院取得、公示相关许可证及其他情况的检查   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21D9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电影院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964B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抽查比例不低于100%，抽查1次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F8EB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B686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2025年3月至12月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97E7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新闻出版局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460B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区市场监管局、区消防救援大队</w:t>
                  </w:r>
                </w:p>
              </w:tc>
            </w:tr>
            <w:tr w14:paraId="0912EB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20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D0F1C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340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对旅馆业特种行业的双随机抽查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379A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旅馆业从业单位的监督检查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8485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本辖区内的旅馆业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A7C4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抽查比例不低于30%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5AE8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FB1F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3AC7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区公安分局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82A6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</w:tr>
            <w:tr w14:paraId="1CB101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5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E63A3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589B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对保安领域的双随机抽查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04CE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保安从业单位及其保安服务活动情况的检查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824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本辖区内保安从业经营单位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A7D5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抽查比例不低于50%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9D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EA2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E9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区公安分局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D49F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</w:t>
                  </w:r>
                </w:p>
              </w:tc>
            </w:tr>
            <w:tr w14:paraId="7750F3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40" w:hRule="atLeast"/>
              </w:trPr>
              <w:tc>
                <w:tcPr>
                  <w:tcW w:w="5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04FAD9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5F3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民用爆炸物品仓储情况、爆破作业单位的双随机抽查</w:t>
                  </w:r>
                </w:p>
              </w:tc>
              <w:tc>
                <w:tcPr>
                  <w:tcW w:w="1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F8F6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民用爆炸物品仓储、爆破作业单位作业情况的监督检查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C983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本辖区内民爆物品储存库房、爆破作业单位</w:t>
                  </w:r>
                </w:p>
              </w:tc>
              <w:tc>
                <w:tcPr>
                  <w:tcW w:w="3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5765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抽查比例不低于100%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4213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根据企业信用风险分类结果，对低风险、一般风险、较高风险、高风险企业分别递加抽查比例、频次。</w:t>
                  </w:r>
                </w:p>
              </w:tc>
              <w:tc>
                <w:tcPr>
                  <w:tcW w:w="2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AB6A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2025.3至2025.10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767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区公安分局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398DA6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区市场监督管理局、区气象局</w:t>
                  </w:r>
                </w:p>
              </w:tc>
            </w:tr>
          </w:tbl>
          <w:p w14:paraId="0182C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</w:tr>
    </w:tbl>
    <w:p w14:paraId="6FC0A10B">
      <w:pPr>
        <w:jc w:val="left"/>
        <w:rPr>
          <w:rFonts w:hint="eastAsia"/>
        </w:rPr>
      </w:pPr>
    </w:p>
    <w:p w14:paraId="294229EA"/>
    <w:sectPr>
      <w:pgSz w:w="16839" w:h="11906" w:orient="landscape"/>
      <w:pgMar w:top="1418" w:right="1134" w:bottom="1418" w:left="1134" w:header="0" w:footer="930" w:gutter="0"/>
      <w:cols w:space="0" w:num="1"/>
      <w:vAlign w:val="center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0AF9"/>
    <w:rsid w:val="0393487F"/>
    <w:rsid w:val="0C4D0332"/>
    <w:rsid w:val="0E076061"/>
    <w:rsid w:val="0EA705E9"/>
    <w:rsid w:val="10D42DDF"/>
    <w:rsid w:val="124570A9"/>
    <w:rsid w:val="138004ED"/>
    <w:rsid w:val="163A208E"/>
    <w:rsid w:val="17A13AAD"/>
    <w:rsid w:val="18A23E3B"/>
    <w:rsid w:val="18FD0A9A"/>
    <w:rsid w:val="1C3338B5"/>
    <w:rsid w:val="21331E6F"/>
    <w:rsid w:val="282A0E92"/>
    <w:rsid w:val="28E92A53"/>
    <w:rsid w:val="2E9A6915"/>
    <w:rsid w:val="2F34301F"/>
    <w:rsid w:val="2FE96FB6"/>
    <w:rsid w:val="3B0E1A95"/>
    <w:rsid w:val="3BB07120"/>
    <w:rsid w:val="3EC60AF9"/>
    <w:rsid w:val="41D56E0C"/>
    <w:rsid w:val="434749DE"/>
    <w:rsid w:val="468E5186"/>
    <w:rsid w:val="51DF1853"/>
    <w:rsid w:val="54012072"/>
    <w:rsid w:val="568D1E6B"/>
    <w:rsid w:val="5F83373E"/>
    <w:rsid w:val="5FE31402"/>
    <w:rsid w:val="6594646C"/>
    <w:rsid w:val="69DC7D24"/>
    <w:rsid w:val="6E2A5CE4"/>
    <w:rsid w:val="70A10B9C"/>
    <w:rsid w:val="742F76B1"/>
    <w:rsid w:val="7AA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="120" w:afterLines="0"/>
    </w:pPr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2025-04-29T03:33:00Z</dcterms:created>
  <dc:creator>任泽欣</dc:creator>
  <cp:lastModifiedBy>任泽欣</cp:lastModifiedBy>
  <dcterms:modified xsi:type="dcterms:W3CDTF">2025-04-29T03:35:49Z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F5F830C4E0C0467DA0E041AD87A84D86_11</vt:lpwstr>
  </property>
  <property fmtid="{D5CDD505-2E9C-101B-9397-08002B2CF9AE}" pid="4" name="KSOTemplateDocerSaveRecord">
    <vt:lpwstr>eyJoZGlkIjoiMzk4MDFhNDQzZTc1NmI2YWMzODBmMjAwYTdkMmQyNDAiLCJ1c2VySWQiOiIzMjgzOTA1MTEifQ==</vt:lpwstr>
  </property>
</Properties>
</file>