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0EE51B">
      <w:pPr>
        <w:spacing w:line="360" w:lineRule="auto"/>
        <w:rPr>
          <w:rFonts w:ascii="Times New Roman" w:hAnsi="Times New Roman" w:eastAsia="宋体" w:cs="Times New Roman"/>
          <w:color w:val="auto"/>
          <w:lang w:eastAsia="zh-CN"/>
        </w:rPr>
      </w:pPr>
    </w:p>
    <w:p w14:paraId="608C6E64">
      <w:pPr>
        <w:spacing w:line="360" w:lineRule="auto"/>
        <w:jc w:val="center"/>
        <w:rPr>
          <w:rFonts w:ascii="Times New Roman" w:hAnsi="Times New Roman" w:eastAsia="宋体" w:cs="Times New Roman"/>
          <w:color w:val="auto"/>
          <w:sz w:val="48"/>
          <w:szCs w:val="48"/>
        </w:rPr>
      </w:pPr>
      <w:bookmarkStart w:id="0" w:name="建设项目环境影响报告表"/>
      <w:bookmarkEnd w:id="0"/>
    </w:p>
    <w:p w14:paraId="2B34054C">
      <w:pPr>
        <w:jc w:val="center"/>
        <w:outlineLvl w:val="0"/>
        <w:rPr>
          <w:rFonts w:ascii="Times New Roman" w:hAnsi="Times New Roman" w:eastAsia="宋体" w:cs="Times New Roman"/>
          <w:b/>
          <w:bCs/>
          <w:color w:val="auto"/>
          <w:sz w:val="72"/>
          <w:szCs w:val="72"/>
          <w:lang w:eastAsia="zh-CN"/>
        </w:rPr>
      </w:pPr>
      <w:bookmarkStart w:id="1" w:name="_Toc10655"/>
      <w:bookmarkStart w:id="2" w:name="_Toc32196"/>
      <w:r>
        <w:rPr>
          <w:rFonts w:ascii="Times New Roman" w:hAnsi="Times New Roman" w:eastAsia="宋体" w:cs="Times New Roman"/>
          <w:b/>
          <w:bCs/>
          <w:color w:val="auto"/>
          <w:sz w:val="72"/>
          <w:szCs w:val="72"/>
          <w:lang w:eastAsia="zh-CN"/>
        </w:rPr>
        <w:t>建设项目环境影响报告表</w:t>
      </w:r>
      <w:bookmarkEnd w:id="1"/>
      <w:bookmarkEnd w:id="2"/>
    </w:p>
    <w:p w14:paraId="30E35C0F">
      <w:pPr>
        <w:jc w:val="center"/>
        <w:rPr>
          <w:rFonts w:ascii="Times New Roman" w:hAnsi="Times New Roman" w:eastAsia="宋体" w:cs="Times New Roman"/>
          <w:b/>
          <w:bCs/>
          <w:color w:val="auto"/>
          <w:sz w:val="48"/>
          <w:szCs w:val="48"/>
          <w:lang w:eastAsia="zh-CN"/>
        </w:rPr>
      </w:pPr>
      <w:bookmarkStart w:id="3" w:name="（征求意见稿）"/>
      <w:bookmarkEnd w:id="3"/>
      <w:bookmarkStart w:id="4" w:name="（污染影响类）"/>
      <w:bookmarkEnd w:id="4"/>
      <w:r>
        <w:rPr>
          <w:rFonts w:hint="eastAsia" w:ascii="Times New Roman" w:hAnsi="Times New Roman" w:eastAsia="宋体" w:cs="Times New Roman"/>
          <w:b/>
          <w:bCs/>
          <w:color w:val="auto"/>
          <w:sz w:val="48"/>
          <w:szCs w:val="48"/>
          <w:lang w:eastAsia="zh-CN"/>
        </w:rPr>
        <w:t>（污染影响类）</w:t>
      </w:r>
    </w:p>
    <w:p w14:paraId="1DFB58B4">
      <w:pPr>
        <w:tabs>
          <w:tab w:val="left" w:pos="4791"/>
          <w:tab w:val="left" w:pos="5691"/>
        </w:tabs>
        <w:spacing w:line="360" w:lineRule="auto"/>
        <w:jc w:val="center"/>
        <w:rPr>
          <w:rFonts w:ascii="Times New Roman" w:hAnsi="Times New Roman" w:eastAsia="宋体" w:cs="Times New Roman"/>
          <w:b/>
          <w:bCs/>
          <w:color w:val="auto"/>
          <w:sz w:val="44"/>
          <w:szCs w:val="44"/>
          <w:lang w:eastAsia="zh-CN"/>
        </w:rPr>
      </w:pPr>
      <w:r>
        <w:rPr>
          <w:rFonts w:hint="eastAsia" w:ascii="Times New Roman" w:hAnsi="Times New Roman" w:eastAsia="宋体" w:cs="Times New Roman"/>
          <w:b/>
          <w:bCs/>
          <w:color w:val="auto"/>
          <w:sz w:val="44"/>
          <w:szCs w:val="44"/>
          <w:lang w:eastAsia="zh-CN"/>
        </w:rPr>
        <w:t>（</w:t>
      </w:r>
      <w:r>
        <w:rPr>
          <w:rFonts w:hint="eastAsia" w:ascii="Times New Roman" w:hAnsi="Times New Roman" w:eastAsia="宋体" w:cs="Times New Roman"/>
          <w:b/>
          <w:bCs/>
          <w:color w:val="auto"/>
          <w:sz w:val="44"/>
          <w:szCs w:val="44"/>
          <w:lang w:val="en-US" w:eastAsia="zh-CN"/>
        </w:rPr>
        <w:t>报批本</w:t>
      </w:r>
      <w:r>
        <w:rPr>
          <w:rFonts w:hint="eastAsia" w:ascii="Times New Roman" w:hAnsi="Times New Roman" w:eastAsia="宋体" w:cs="Times New Roman"/>
          <w:b/>
          <w:bCs/>
          <w:color w:val="auto"/>
          <w:sz w:val="44"/>
          <w:szCs w:val="44"/>
          <w:lang w:eastAsia="zh-CN"/>
        </w:rPr>
        <w:t>）</w:t>
      </w:r>
    </w:p>
    <w:p w14:paraId="2DB04DBC">
      <w:pPr>
        <w:spacing w:line="360" w:lineRule="auto"/>
        <w:rPr>
          <w:rFonts w:ascii="Times New Roman" w:hAnsi="Times New Roman" w:eastAsia="宋体" w:cs="Times New Roman"/>
          <w:color w:val="auto"/>
          <w:sz w:val="66"/>
          <w:szCs w:val="66"/>
          <w:lang w:eastAsia="zh-CN"/>
        </w:rPr>
      </w:pPr>
    </w:p>
    <w:p w14:paraId="2CB7C674">
      <w:pPr>
        <w:spacing w:line="360" w:lineRule="auto"/>
        <w:rPr>
          <w:rFonts w:ascii="Times New Roman" w:hAnsi="Times New Roman" w:eastAsia="宋体" w:cs="Times New Roman"/>
          <w:color w:val="auto"/>
          <w:sz w:val="66"/>
          <w:szCs w:val="66"/>
          <w:lang w:eastAsia="zh-CN"/>
        </w:rPr>
      </w:pPr>
    </w:p>
    <w:p w14:paraId="641587CD">
      <w:pPr>
        <w:tabs>
          <w:tab w:val="left" w:pos="6749"/>
        </w:tabs>
        <w:spacing w:line="360" w:lineRule="auto"/>
        <w:ind w:firstLine="319" w:firstLineChars="100"/>
        <w:jc w:val="both"/>
        <w:rPr>
          <w:rFonts w:hint="eastAsia" w:ascii="宋体" w:hAnsi="宋体" w:eastAsia="宋体" w:cs="宋体"/>
          <w:b/>
          <w:bCs/>
          <w:color w:val="auto"/>
          <w:spacing w:val="-21"/>
          <w:sz w:val="36"/>
          <w:szCs w:val="36"/>
          <w:u w:val="single"/>
          <w:lang w:eastAsia="zh-CN"/>
        </w:rPr>
      </w:pPr>
      <w:r>
        <w:rPr>
          <w:rFonts w:hint="eastAsia" w:ascii="宋体" w:hAnsi="宋体" w:eastAsia="宋体" w:cs="宋体"/>
          <w:b/>
          <w:bCs/>
          <w:color w:val="auto"/>
          <w:spacing w:val="-21"/>
          <w:sz w:val="36"/>
          <w:szCs w:val="36"/>
          <w:lang w:eastAsia="zh-CN"/>
        </w:rPr>
        <w:t>项目名称：</w:t>
      </w:r>
      <w:r>
        <w:rPr>
          <w:rFonts w:hint="eastAsia" w:ascii="宋体" w:hAnsi="宋体" w:eastAsia="宋体" w:cs="宋体"/>
          <w:b/>
          <w:bCs/>
          <w:color w:val="auto"/>
          <w:spacing w:val="-21"/>
          <w:sz w:val="36"/>
          <w:szCs w:val="36"/>
          <w:u w:val="single"/>
          <w:lang w:eastAsia="zh-CN"/>
        </w:rPr>
        <w:t>长治市瑞兴冶金熔剂有限公司石灰深</w:t>
      </w:r>
    </w:p>
    <w:p w14:paraId="041D5B59">
      <w:pPr>
        <w:tabs>
          <w:tab w:val="left" w:pos="6749"/>
        </w:tabs>
        <w:spacing w:line="360" w:lineRule="auto"/>
        <w:ind w:firstLine="1916" w:firstLineChars="600"/>
        <w:jc w:val="both"/>
        <w:rPr>
          <w:rFonts w:hint="default" w:ascii="宋体" w:hAnsi="宋体" w:eastAsia="宋体" w:cs="宋体"/>
          <w:b/>
          <w:bCs/>
          <w:color w:val="auto"/>
          <w:lang w:val="en-US" w:eastAsia="zh-CN"/>
        </w:rPr>
      </w:pPr>
      <w:r>
        <w:rPr>
          <w:rFonts w:hint="eastAsia" w:ascii="宋体" w:hAnsi="宋体" w:eastAsia="宋体" w:cs="宋体"/>
          <w:b/>
          <w:bCs/>
          <w:color w:val="auto"/>
          <w:spacing w:val="-21"/>
          <w:sz w:val="36"/>
          <w:szCs w:val="36"/>
          <w:u w:val="single"/>
          <w:lang w:eastAsia="zh-CN"/>
        </w:rPr>
        <w:t>加工扩建项目</w:t>
      </w:r>
      <w:r>
        <w:rPr>
          <w:rFonts w:hint="eastAsia" w:ascii="宋体" w:hAnsi="宋体" w:eastAsia="宋体" w:cs="宋体"/>
          <w:b/>
          <w:bCs/>
          <w:color w:val="auto"/>
          <w:spacing w:val="-21"/>
          <w:sz w:val="36"/>
          <w:szCs w:val="36"/>
          <w:u w:val="single"/>
          <w:lang w:val="en-US" w:eastAsia="zh-CN"/>
        </w:rPr>
        <w:t xml:space="preserve">                      </w:t>
      </w:r>
    </w:p>
    <w:p w14:paraId="7539EFBC">
      <w:pPr>
        <w:tabs>
          <w:tab w:val="left" w:pos="6749"/>
        </w:tabs>
        <w:spacing w:line="360" w:lineRule="auto"/>
        <w:ind w:firstLine="319" w:firstLineChars="100"/>
        <w:jc w:val="both"/>
        <w:outlineLvl w:val="0"/>
        <w:rPr>
          <w:rFonts w:ascii="宋体" w:hAnsi="宋体" w:eastAsia="宋体" w:cs="宋体"/>
          <w:b/>
          <w:bCs/>
          <w:color w:val="auto"/>
          <w:sz w:val="36"/>
          <w:szCs w:val="36"/>
          <w:u w:val="single"/>
          <w:lang w:eastAsia="zh-CN"/>
        </w:rPr>
      </w:pPr>
      <w:bookmarkStart w:id="5" w:name="_Toc20250"/>
      <w:bookmarkStart w:id="6" w:name="_Toc360"/>
      <w:r>
        <w:rPr>
          <w:rFonts w:hint="eastAsia" w:ascii="宋体" w:hAnsi="宋体" w:eastAsia="宋体" w:cs="宋体"/>
          <w:b/>
          <w:bCs/>
          <w:color w:val="auto"/>
          <w:spacing w:val="-21"/>
          <w:sz w:val="36"/>
          <w:szCs w:val="36"/>
          <w:lang w:eastAsia="zh-CN"/>
        </w:rPr>
        <w:t>建设单位（盖章）：</w:t>
      </w:r>
      <w:bookmarkEnd w:id="5"/>
      <w:bookmarkEnd w:id="6"/>
      <w:r>
        <w:rPr>
          <w:rFonts w:hint="eastAsia" w:ascii="宋体" w:hAnsi="宋体" w:eastAsia="宋体" w:cs="宋体"/>
          <w:b/>
          <w:bCs/>
          <w:color w:val="auto"/>
          <w:spacing w:val="-21"/>
          <w:sz w:val="36"/>
          <w:szCs w:val="36"/>
          <w:u w:val="single"/>
          <w:lang w:eastAsia="zh-CN"/>
        </w:rPr>
        <w:t>长治市瑞兴冶金熔剂有限公司</w:t>
      </w:r>
    </w:p>
    <w:p w14:paraId="767A1D86">
      <w:pPr>
        <w:tabs>
          <w:tab w:val="left" w:pos="6749"/>
        </w:tabs>
        <w:spacing w:line="360" w:lineRule="auto"/>
        <w:ind w:firstLine="319" w:firstLineChars="100"/>
        <w:jc w:val="both"/>
        <w:rPr>
          <w:rFonts w:ascii="宋体" w:hAnsi="宋体" w:eastAsia="宋体" w:cs="宋体"/>
          <w:b/>
          <w:bCs/>
          <w:color w:val="auto"/>
          <w:spacing w:val="-21"/>
          <w:sz w:val="36"/>
          <w:szCs w:val="36"/>
          <w:lang w:eastAsia="zh-CN"/>
        </w:rPr>
      </w:pPr>
      <w:r>
        <w:rPr>
          <w:rFonts w:hint="eastAsia" w:ascii="宋体" w:hAnsi="宋体" w:eastAsia="宋体" w:cs="宋体"/>
          <w:b/>
          <w:bCs/>
          <w:color w:val="auto"/>
          <w:spacing w:val="-21"/>
          <w:sz w:val="36"/>
          <w:szCs w:val="36"/>
          <w:lang w:eastAsia="zh-CN"/>
        </w:rPr>
        <w:t>编制日期：</w:t>
      </w:r>
      <w:r>
        <w:rPr>
          <w:rFonts w:hint="eastAsia" w:ascii="宋体" w:hAnsi="宋体" w:eastAsia="宋体" w:cs="宋体"/>
          <w:b/>
          <w:bCs/>
          <w:color w:val="auto"/>
          <w:spacing w:val="-21"/>
          <w:sz w:val="36"/>
          <w:szCs w:val="36"/>
          <w:u w:val="single"/>
          <w:lang w:val="en-US" w:eastAsia="zh-CN"/>
        </w:rPr>
        <w:t xml:space="preserve">            </w:t>
      </w:r>
      <w:r>
        <w:rPr>
          <w:rFonts w:hint="eastAsia" w:ascii="宋体" w:hAnsi="宋体" w:eastAsia="宋体" w:cs="宋体"/>
          <w:b/>
          <w:bCs/>
          <w:color w:val="auto"/>
          <w:sz w:val="36"/>
          <w:szCs w:val="36"/>
          <w:u w:val="single"/>
          <w:lang w:eastAsia="zh-CN"/>
        </w:rPr>
        <w:t>202</w:t>
      </w:r>
      <w:r>
        <w:rPr>
          <w:rFonts w:hint="eastAsia" w:ascii="宋体" w:hAnsi="宋体" w:eastAsia="宋体" w:cs="宋体"/>
          <w:b/>
          <w:bCs/>
          <w:color w:val="auto"/>
          <w:sz w:val="36"/>
          <w:szCs w:val="36"/>
          <w:u w:val="single"/>
          <w:lang w:val="en-US" w:eastAsia="zh-CN"/>
        </w:rPr>
        <w:t>5</w:t>
      </w:r>
      <w:r>
        <w:rPr>
          <w:rFonts w:hint="eastAsia" w:ascii="宋体" w:hAnsi="宋体" w:eastAsia="宋体" w:cs="宋体"/>
          <w:b/>
          <w:bCs/>
          <w:color w:val="auto"/>
          <w:sz w:val="36"/>
          <w:szCs w:val="36"/>
          <w:u w:val="single"/>
          <w:lang w:eastAsia="zh-CN"/>
        </w:rPr>
        <w:t>年</w:t>
      </w:r>
      <w:r>
        <w:rPr>
          <w:rFonts w:hint="eastAsia" w:ascii="宋体" w:hAnsi="宋体" w:eastAsia="宋体" w:cs="宋体"/>
          <w:b/>
          <w:bCs/>
          <w:color w:val="auto"/>
          <w:sz w:val="36"/>
          <w:szCs w:val="36"/>
          <w:u w:val="single"/>
          <w:lang w:val="en-US" w:eastAsia="zh-CN"/>
        </w:rPr>
        <w:t>1</w:t>
      </w:r>
      <w:r>
        <w:rPr>
          <w:rFonts w:hint="eastAsia" w:ascii="宋体" w:hAnsi="宋体" w:eastAsia="宋体" w:cs="宋体"/>
          <w:b/>
          <w:bCs/>
          <w:color w:val="auto"/>
          <w:sz w:val="36"/>
          <w:szCs w:val="36"/>
          <w:u w:val="single"/>
          <w:lang w:eastAsia="zh-CN"/>
        </w:rPr>
        <w:t xml:space="preserve">月 </w:t>
      </w:r>
      <w:r>
        <w:rPr>
          <w:rFonts w:hint="eastAsia" w:ascii="宋体" w:hAnsi="宋体" w:eastAsia="宋体" w:cs="宋体"/>
          <w:b/>
          <w:bCs/>
          <w:color w:val="auto"/>
          <w:sz w:val="36"/>
          <w:szCs w:val="36"/>
          <w:u w:val="single"/>
          <w:lang w:val="en-US" w:eastAsia="zh-CN"/>
        </w:rPr>
        <w:t xml:space="preserve">        </w:t>
      </w:r>
      <w:r>
        <w:rPr>
          <w:rFonts w:hint="eastAsia" w:ascii="宋体" w:hAnsi="宋体" w:eastAsia="宋体" w:cs="宋体"/>
          <w:b/>
          <w:bCs/>
          <w:color w:val="auto"/>
          <w:sz w:val="36"/>
          <w:szCs w:val="36"/>
          <w:u w:val="single"/>
          <w:lang w:eastAsia="zh-CN"/>
        </w:rPr>
        <w:t xml:space="preserve"> </w:t>
      </w:r>
    </w:p>
    <w:p w14:paraId="62FC721D">
      <w:pPr>
        <w:tabs>
          <w:tab w:val="left" w:pos="6749"/>
        </w:tabs>
        <w:spacing w:line="360" w:lineRule="auto"/>
        <w:ind w:firstLine="958" w:firstLineChars="300"/>
        <w:jc w:val="both"/>
        <w:rPr>
          <w:rFonts w:ascii="Times New Roman" w:hAnsi="Times New Roman" w:eastAsia="宋体" w:cs="Times New Roman"/>
          <w:b/>
          <w:bCs/>
          <w:color w:val="auto"/>
          <w:spacing w:val="-21"/>
          <w:sz w:val="36"/>
          <w:szCs w:val="36"/>
          <w:lang w:eastAsia="zh-CN"/>
        </w:rPr>
      </w:pPr>
    </w:p>
    <w:p w14:paraId="32B5E885">
      <w:pPr>
        <w:spacing w:line="360" w:lineRule="auto"/>
        <w:rPr>
          <w:rFonts w:ascii="Times New Roman" w:hAnsi="Times New Roman" w:eastAsia="宋体" w:cs="Times New Roman"/>
          <w:color w:val="auto"/>
          <w:sz w:val="20"/>
          <w:szCs w:val="20"/>
          <w:lang w:eastAsia="zh-CN"/>
        </w:rPr>
      </w:pPr>
    </w:p>
    <w:p w14:paraId="11AC9834">
      <w:pPr>
        <w:spacing w:line="360" w:lineRule="auto"/>
        <w:rPr>
          <w:rFonts w:ascii="Times New Roman" w:hAnsi="Times New Roman" w:eastAsia="宋体" w:cs="Times New Roman"/>
          <w:color w:val="auto"/>
          <w:sz w:val="20"/>
          <w:szCs w:val="20"/>
          <w:lang w:eastAsia="zh-CN"/>
        </w:rPr>
      </w:pPr>
    </w:p>
    <w:p w14:paraId="0EA74B6D">
      <w:pPr>
        <w:spacing w:line="360" w:lineRule="auto"/>
        <w:rPr>
          <w:rFonts w:ascii="Times New Roman" w:hAnsi="Times New Roman" w:eastAsia="宋体" w:cs="Times New Roman"/>
          <w:color w:val="auto"/>
          <w:sz w:val="20"/>
          <w:szCs w:val="20"/>
          <w:lang w:eastAsia="zh-CN"/>
        </w:rPr>
      </w:pPr>
    </w:p>
    <w:p w14:paraId="291DB20F">
      <w:pPr>
        <w:spacing w:line="360" w:lineRule="auto"/>
        <w:rPr>
          <w:rFonts w:ascii="Times New Roman" w:hAnsi="Times New Roman" w:eastAsia="宋体" w:cs="Times New Roman"/>
          <w:color w:val="auto"/>
          <w:sz w:val="20"/>
          <w:szCs w:val="20"/>
          <w:lang w:eastAsia="zh-CN"/>
        </w:rPr>
      </w:pPr>
    </w:p>
    <w:p w14:paraId="5DAA9051">
      <w:pPr>
        <w:spacing w:line="360" w:lineRule="auto"/>
        <w:rPr>
          <w:rFonts w:ascii="Times New Roman" w:hAnsi="Times New Roman" w:eastAsia="宋体" w:cs="Times New Roman"/>
          <w:color w:val="auto"/>
          <w:sz w:val="20"/>
          <w:szCs w:val="20"/>
          <w:lang w:eastAsia="zh-CN"/>
        </w:rPr>
      </w:pPr>
    </w:p>
    <w:p w14:paraId="3A08C946">
      <w:pPr>
        <w:spacing w:line="360" w:lineRule="auto"/>
        <w:rPr>
          <w:rFonts w:ascii="Times New Roman" w:hAnsi="Times New Roman" w:eastAsia="宋体" w:cs="Times New Roman"/>
          <w:color w:val="auto"/>
          <w:sz w:val="20"/>
          <w:szCs w:val="20"/>
          <w:lang w:eastAsia="zh-CN"/>
        </w:rPr>
      </w:pPr>
    </w:p>
    <w:p w14:paraId="0B0C00E6">
      <w:pPr>
        <w:spacing w:line="360" w:lineRule="auto"/>
        <w:rPr>
          <w:rFonts w:ascii="Times New Roman" w:hAnsi="Times New Roman" w:eastAsia="宋体" w:cs="Times New Roman"/>
          <w:color w:val="auto"/>
          <w:sz w:val="20"/>
          <w:szCs w:val="20"/>
          <w:lang w:eastAsia="zh-CN"/>
        </w:rPr>
      </w:pPr>
    </w:p>
    <w:p w14:paraId="0645EE9B">
      <w:pPr>
        <w:spacing w:line="360" w:lineRule="auto"/>
        <w:rPr>
          <w:rFonts w:ascii="Times New Roman" w:hAnsi="Times New Roman" w:eastAsia="宋体" w:cs="Times New Roman"/>
          <w:color w:val="auto"/>
          <w:sz w:val="20"/>
          <w:szCs w:val="20"/>
          <w:lang w:eastAsia="zh-CN"/>
        </w:rPr>
      </w:pPr>
    </w:p>
    <w:p w14:paraId="666B708B">
      <w:pPr>
        <w:spacing w:line="360" w:lineRule="auto"/>
        <w:rPr>
          <w:rFonts w:ascii="Times New Roman" w:hAnsi="Times New Roman" w:eastAsia="宋体" w:cs="Times New Roman"/>
          <w:color w:val="auto"/>
          <w:sz w:val="26"/>
          <w:szCs w:val="26"/>
          <w:lang w:eastAsia="zh-CN"/>
        </w:rPr>
      </w:pPr>
    </w:p>
    <w:p w14:paraId="4A10165E">
      <w:pPr>
        <w:tabs>
          <w:tab w:val="left" w:pos="4791"/>
          <w:tab w:val="left" w:pos="5691"/>
        </w:tabs>
        <w:spacing w:line="360" w:lineRule="auto"/>
        <w:jc w:val="both"/>
        <w:rPr>
          <w:rFonts w:ascii="Times New Roman" w:hAnsi="Times New Roman" w:eastAsia="宋体" w:cs="Times New Roman"/>
          <w:color w:val="auto"/>
          <w:sz w:val="36"/>
          <w:szCs w:val="36"/>
          <w:lang w:eastAsia="zh-CN"/>
        </w:rPr>
      </w:pPr>
    </w:p>
    <w:p w14:paraId="430F349B">
      <w:pPr>
        <w:tabs>
          <w:tab w:val="left" w:pos="4791"/>
          <w:tab w:val="left" w:pos="5691"/>
        </w:tabs>
        <w:spacing w:line="360" w:lineRule="auto"/>
        <w:jc w:val="center"/>
        <w:outlineLvl w:val="0"/>
        <w:rPr>
          <w:rFonts w:ascii="Times New Roman" w:hAnsi="Times New Roman" w:eastAsia="宋体" w:cs="Times New Roman"/>
          <w:b/>
          <w:bCs/>
          <w:color w:val="auto"/>
          <w:sz w:val="36"/>
          <w:szCs w:val="36"/>
          <w:lang w:eastAsia="zh-CN"/>
        </w:rPr>
      </w:pPr>
      <w:bookmarkStart w:id="7" w:name="_Toc2902"/>
      <w:bookmarkStart w:id="8" w:name="_Toc5905"/>
      <w:r>
        <w:rPr>
          <w:rFonts w:ascii="Times New Roman" w:hAnsi="Times New Roman" w:eastAsia="宋体" w:cs="Times New Roman"/>
          <w:b/>
          <w:bCs/>
          <w:color w:val="auto"/>
          <w:sz w:val="36"/>
          <w:szCs w:val="36"/>
          <w:lang w:eastAsia="zh-CN"/>
        </w:rPr>
        <w:t>中华人民共和国生态环境部制</w:t>
      </w:r>
      <w:bookmarkEnd w:id="7"/>
      <w:bookmarkEnd w:id="8"/>
    </w:p>
    <w:p w14:paraId="56115B44">
      <w:pPr>
        <w:rPr>
          <w:rFonts w:ascii="Times New Roman" w:hAnsi="Times New Roman" w:eastAsia="宋体" w:cs="Times New Roman"/>
          <w:b/>
          <w:bCs/>
          <w:color w:val="auto"/>
          <w:sz w:val="36"/>
          <w:szCs w:val="36"/>
          <w:lang w:eastAsia="zh-CN"/>
        </w:rPr>
      </w:pPr>
      <w:r>
        <w:rPr>
          <w:rFonts w:ascii="Times New Roman" w:hAnsi="Times New Roman" w:eastAsia="宋体" w:cs="Times New Roman"/>
          <w:b/>
          <w:bCs/>
          <w:color w:val="auto"/>
          <w:sz w:val="36"/>
          <w:szCs w:val="36"/>
          <w:lang w:eastAsia="zh-CN"/>
        </w:rPr>
        <w:br w:type="page"/>
      </w:r>
    </w:p>
    <w:p w14:paraId="125CB714">
      <w:pPr>
        <w:rPr>
          <w:rFonts w:ascii="Times New Roman" w:hAnsi="Times New Roman" w:eastAsia="宋体" w:cs="Times New Roman"/>
          <w:b/>
          <w:bCs/>
          <w:color w:val="auto"/>
          <w:sz w:val="36"/>
          <w:szCs w:val="36"/>
          <w:lang w:eastAsia="zh-CN"/>
        </w:rPr>
      </w:pPr>
      <w:r>
        <w:rPr>
          <w:rFonts w:ascii="Times New Roman" w:hAnsi="Times New Roman" w:eastAsia="宋体" w:cs="Times New Roman"/>
          <w:b/>
          <w:bCs/>
          <w:color w:val="auto"/>
          <w:sz w:val="36"/>
          <w:szCs w:val="36"/>
          <w:lang w:eastAsia="zh-CN"/>
        </w:rPr>
        <w:drawing>
          <wp:inline distT="0" distB="0" distL="114300" distR="114300">
            <wp:extent cx="5777230" cy="8170545"/>
            <wp:effectExtent l="0" t="0" r="13970" b="1905"/>
            <wp:docPr id="34" name="图片 34" descr="新建 DOC 文档 (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新建 DOC 文档 (2)_00"/>
                    <pic:cNvPicPr>
                      <a:picLocks noChangeAspect="1"/>
                    </pic:cNvPicPr>
                  </pic:nvPicPr>
                  <pic:blipFill>
                    <a:blip r:embed="rId17"/>
                    <a:stretch>
                      <a:fillRect/>
                    </a:stretch>
                  </pic:blipFill>
                  <pic:spPr>
                    <a:xfrm>
                      <a:off x="0" y="0"/>
                      <a:ext cx="5777230" cy="8170545"/>
                    </a:xfrm>
                    <a:prstGeom prst="rect">
                      <a:avLst/>
                    </a:prstGeom>
                  </pic:spPr>
                </pic:pic>
              </a:graphicData>
            </a:graphic>
          </wp:inline>
        </w:drawing>
      </w:r>
      <w:r>
        <w:rPr>
          <w:rFonts w:ascii="Times New Roman" w:hAnsi="Times New Roman" w:eastAsia="宋体" w:cs="Times New Roman"/>
          <w:b/>
          <w:bCs/>
          <w:color w:val="auto"/>
          <w:sz w:val="36"/>
          <w:szCs w:val="36"/>
          <w:lang w:eastAsia="zh-CN"/>
        </w:rPr>
        <w:br w:type="page"/>
      </w:r>
    </w:p>
    <w:p w14:paraId="400B25BE">
      <w:pPr>
        <w:rPr>
          <w:rFonts w:ascii="Times New Roman" w:hAnsi="Times New Roman" w:eastAsia="宋体" w:cs="Times New Roman"/>
          <w:b/>
          <w:bCs/>
          <w:color w:val="auto"/>
          <w:sz w:val="36"/>
          <w:szCs w:val="36"/>
          <w:lang w:eastAsia="zh-CN"/>
        </w:rPr>
      </w:pPr>
      <w:r>
        <w:rPr>
          <w:rFonts w:ascii="Times New Roman" w:hAnsi="Times New Roman" w:eastAsia="宋体" w:cs="Times New Roman"/>
          <w:b/>
          <w:bCs/>
          <w:color w:val="auto"/>
          <w:sz w:val="36"/>
          <w:szCs w:val="36"/>
          <w:lang w:eastAsia="zh-CN"/>
        </w:rPr>
        <w:drawing>
          <wp:inline distT="0" distB="0" distL="114300" distR="114300">
            <wp:extent cx="5784850" cy="8131810"/>
            <wp:effectExtent l="0" t="0" r="6350" b="2540"/>
            <wp:docPr id="33" name="图片 33" descr="3e050d44c3044aedefa6ca86fabd7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3e050d44c3044aedefa6ca86fabd7f8"/>
                    <pic:cNvPicPr>
                      <a:picLocks noChangeAspect="1"/>
                    </pic:cNvPicPr>
                  </pic:nvPicPr>
                  <pic:blipFill>
                    <a:blip r:embed="rId18"/>
                    <a:stretch>
                      <a:fillRect/>
                    </a:stretch>
                  </pic:blipFill>
                  <pic:spPr>
                    <a:xfrm>
                      <a:off x="0" y="0"/>
                      <a:ext cx="5784850" cy="8131810"/>
                    </a:xfrm>
                    <a:prstGeom prst="rect">
                      <a:avLst/>
                    </a:prstGeom>
                  </pic:spPr>
                </pic:pic>
              </a:graphicData>
            </a:graphic>
          </wp:inline>
        </w:drawing>
      </w:r>
      <w:r>
        <w:rPr>
          <w:rFonts w:ascii="Times New Roman" w:hAnsi="Times New Roman" w:eastAsia="宋体" w:cs="Times New Roman"/>
          <w:b/>
          <w:bCs/>
          <w:color w:val="auto"/>
          <w:sz w:val="36"/>
          <w:szCs w:val="36"/>
          <w:lang w:eastAsia="zh-CN"/>
        </w:rPr>
        <w:br w:type="page"/>
      </w:r>
    </w:p>
    <w:p w14:paraId="52EA8A27">
      <w:pPr>
        <w:rPr>
          <w:rFonts w:ascii="Times New Roman" w:hAnsi="Times New Roman" w:eastAsia="宋体" w:cs="Times New Roman"/>
          <w:b/>
          <w:bCs/>
          <w:color w:val="auto"/>
          <w:sz w:val="36"/>
          <w:szCs w:val="36"/>
          <w:lang w:eastAsia="zh-CN"/>
        </w:rPr>
      </w:pPr>
      <w:r>
        <w:rPr>
          <w:rFonts w:ascii="Times New Roman" w:hAnsi="Times New Roman" w:eastAsia="宋体" w:cs="Times New Roman"/>
          <w:b/>
          <w:bCs/>
          <w:color w:val="auto"/>
          <w:sz w:val="36"/>
          <w:szCs w:val="36"/>
          <w:lang w:eastAsia="zh-CN"/>
        </w:rPr>
        <w:drawing>
          <wp:inline distT="0" distB="0" distL="114300" distR="114300">
            <wp:extent cx="5777230" cy="8170545"/>
            <wp:effectExtent l="0" t="0" r="13970" b="1905"/>
            <wp:docPr id="15" name="图片 15" descr="修改说明签字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修改说明签字版_00"/>
                    <pic:cNvPicPr>
                      <a:picLocks noChangeAspect="1"/>
                    </pic:cNvPicPr>
                  </pic:nvPicPr>
                  <pic:blipFill>
                    <a:blip r:embed="rId19"/>
                    <a:stretch>
                      <a:fillRect/>
                    </a:stretch>
                  </pic:blipFill>
                  <pic:spPr>
                    <a:xfrm>
                      <a:off x="0" y="0"/>
                      <a:ext cx="5777230" cy="8170545"/>
                    </a:xfrm>
                    <a:prstGeom prst="rect">
                      <a:avLst/>
                    </a:prstGeom>
                  </pic:spPr>
                </pic:pic>
              </a:graphicData>
            </a:graphic>
          </wp:inline>
        </w:drawing>
      </w:r>
      <w:r>
        <w:rPr>
          <w:rFonts w:ascii="Times New Roman" w:hAnsi="Times New Roman" w:eastAsia="宋体" w:cs="Times New Roman"/>
          <w:b/>
          <w:bCs/>
          <w:color w:val="auto"/>
          <w:sz w:val="36"/>
          <w:szCs w:val="36"/>
          <w:lang w:eastAsia="zh-CN"/>
        </w:rPr>
        <w:drawing>
          <wp:inline distT="0" distB="0" distL="114300" distR="114300">
            <wp:extent cx="5777230" cy="8170545"/>
            <wp:effectExtent l="0" t="0" r="13970" b="1905"/>
            <wp:docPr id="8" name="图片 8" descr="修改说明签字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修改说明签字版_01"/>
                    <pic:cNvPicPr>
                      <a:picLocks noChangeAspect="1"/>
                    </pic:cNvPicPr>
                  </pic:nvPicPr>
                  <pic:blipFill>
                    <a:blip r:embed="rId20"/>
                    <a:stretch>
                      <a:fillRect/>
                    </a:stretch>
                  </pic:blipFill>
                  <pic:spPr>
                    <a:xfrm>
                      <a:off x="0" y="0"/>
                      <a:ext cx="5777230" cy="8170545"/>
                    </a:xfrm>
                    <a:prstGeom prst="rect">
                      <a:avLst/>
                    </a:prstGeom>
                  </pic:spPr>
                </pic:pic>
              </a:graphicData>
            </a:graphic>
          </wp:inline>
        </w:drawing>
      </w:r>
      <w:r>
        <w:rPr>
          <w:rFonts w:ascii="Times New Roman" w:hAnsi="Times New Roman" w:eastAsia="宋体" w:cs="Times New Roman"/>
          <w:b/>
          <w:bCs/>
          <w:color w:val="auto"/>
          <w:sz w:val="36"/>
          <w:szCs w:val="36"/>
          <w:lang w:eastAsia="zh-CN"/>
        </w:rPr>
        <w:br w:type="page"/>
      </w:r>
    </w:p>
    <w:p w14:paraId="6C1C0C88">
      <w:pPr>
        <w:jc w:val="center"/>
        <w:rPr>
          <w:bCs/>
          <w:color w:val="auto"/>
          <w:sz w:val="32"/>
          <w:szCs w:val="32"/>
          <w:highlight w:val="red"/>
          <w:lang w:eastAsia="zh-CN"/>
        </w:rPr>
      </w:pPr>
      <w:r>
        <w:rPr>
          <w:rFonts w:hint="eastAsia" w:ascii="华文中宋" w:hAnsi="华文中宋" w:eastAsia="华文中宋" w:cs="华文中宋"/>
          <w:b/>
          <w:bCs/>
          <w:color w:val="auto"/>
          <w:sz w:val="32"/>
          <w:szCs w:val="32"/>
          <w:highlight w:val="none"/>
          <w:lang w:eastAsia="zh-CN"/>
        </w:rPr>
        <w:t>现场照片</w:t>
      </w:r>
    </w:p>
    <w:p w14:paraId="1571E180">
      <w:pPr>
        <w:jc w:val="center"/>
        <w:rPr>
          <w:rFonts w:hint="eastAsia" w:ascii="华文中宋" w:hAnsi="华文中宋" w:eastAsia="华文中宋" w:cs="华文中宋"/>
          <w:b/>
          <w:bCs/>
          <w:color w:val="auto"/>
          <w:sz w:val="32"/>
          <w:szCs w:val="32"/>
          <w:highlight w:val="none"/>
          <w:lang w:eastAsia="zh-CN"/>
        </w:rPr>
      </w:pPr>
    </w:p>
    <w:p w14:paraId="74A0887C">
      <w:pPr>
        <w:jc w:val="center"/>
        <w:rPr>
          <w:rFonts w:hint="eastAsia" w:ascii="华文中宋" w:hAnsi="华文中宋" w:eastAsia="华文中宋" w:cs="华文中宋"/>
          <w:b/>
          <w:bCs/>
          <w:color w:val="auto"/>
          <w:sz w:val="32"/>
          <w:szCs w:val="32"/>
          <w:highlight w:val="none"/>
          <w:lang w:eastAsia="zh-CN"/>
        </w:rPr>
      </w:pPr>
    </w:p>
    <w:p w14:paraId="3D37BF00">
      <w:pPr>
        <w:jc w:val="center"/>
        <w:rPr>
          <w:rFonts w:hint="eastAsia" w:ascii="华文中宋" w:hAnsi="华文中宋" w:eastAsia="华文中宋" w:cs="华文中宋"/>
          <w:b/>
          <w:bCs/>
          <w:color w:val="auto"/>
          <w:sz w:val="32"/>
          <w:szCs w:val="32"/>
          <w:highlight w:val="none"/>
          <w:lang w:eastAsia="zh-CN"/>
        </w:rPr>
      </w:pPr>
    </w:p>
    <w:tbl>
      <w:tblPr>
        <w:tblStyle w:val="33"/>
        <w:tblW w:w="850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968"/>
        <w:gridCol w:w="567"/>
        <w:gridCol w:w="3968"/>
      </w:tblGrid>
      <w:tr w14:paraId="68909E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5" w:hRule="exact"/>
          <w:jc w:val="center"/>
        </w:trPr>
        <w:tc>
          <w:tcPr>
            <w:tcW w:w="3968" w:type="dxa"/>
            <w:vAlign w:val="center"/>
          </w:tcPr>
          <w:p w14:paraId="0E2ECE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drawing>
                <wp:inline distT="0" distB="0" distL="114300" distR="114300">
                  <wp:extent cx="2340610" cy="1755775"/>
                  <wp:effectExtent l="0" t="0" r="2540" b="15875"/>
                  <wp:docPr id="14" name="图片 14" descr="b43f5cda9acfedc706c25909876f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b43f5cda9acfedc706c25909876fac1"/>
                          <pic:cNvPicPr>
                            <a:picLocks noChangeAspect="1"/>
                          </pic:cNvPicPr>
                        </pic:nvPicPr>
                        <pic:blipFill>
                          <a:blip r:embed="rId21"/>
                          <a:stretch>
                            <a:fillRect/>
                          </a:stretch>
                        </pic:blipFill>
                        <pic:spPr>
                          <a:xfrm>
                            <a:off x="0" y="0"/>
                            <a:ext cx="2340610" cy="1755775"/>
                          </a:xfrm>
                          <a:prstGeom prst="rect">
                            <a:avLst/>
                          </a:prstGeom>
                        </pic:spPr>
                      </pic:pic>
                    </a:graphicData>
                  </a:graphic>
                </wp:inline>
              </w:drawing>
            </w:r>
          </w:p>
        </w:tc>
        <w:tc>
          <w:tcPr>
            <w:tcW w:w="567" w:type="dxa"/>
            <w:vAlign w:val="center"/>
          </w:tcPr>
          <w:p w14:paraId="3C0EDE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3968" w:type="dxa"/>
            <w:vAlign w:val="center"/>
          </w:tcPr>
          <w:p w14:paraId="20FC9C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drawing>
                <wp:inline distT="0" distB="0" distL="114300" distR="114300">
                  <wp:extent cx="2340610" cy="1755775"/>
                  <wp:effectExtent l="0" t="0" r="2540" b="15875"/>
                  <wp:docPr id="25" name="图片 25" descr="108e05dcf31945cc41ffac1f31468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08e05dcf31945cc41ffac1f314683a"/>
                          <pic:cNvPicPr>
                            <a:picLocks noChangeAspect="1"/>
                          </pic:cNvPicPr>
                        </pic:nvPicPr>
                        <pic:blipFill>
                          <a:blip r:embed="rId22"/>
                          <a:stretch>
                            <a:fillRect/>
                          </a:stretch>
                        </pic:blipFill>
                        <pic:spPr>
                          <a:xfrm>
                            <a:off x="0" y="0"/>
                            <a:ext cx="2340610" cy="1755775"/>
                          </a:xfrm>
                          <a:prstGeom prst="rect">
                            <a:avLst/>
                          </a:prstGeom>
                        </pic:spPr>
                      </pic:pic>
                    </a:graphicData>
                  </a:graphic>
                </wp:inline>
              </w:drawing>
            </w:r>
          </w:p>
        </w:tc>
      </w:tr>
      <w:tr w14:paraId="4673A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jc w:val="center"/>
        </w:trPr>
        <w:tc>
          <w:tcPr>
            <w:tcW w:w="3968" w:type="dxa"/>
            <w:vAlign w:val="center"/>
          </w:tcPr>
          <w:p w14:paraId="3F08B9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现有洗车平台</w:t>
            </w:r>
          </w:p>
        </w:tc>
        <w:tc>
          <w:tcPr>
            <w:tcW w:w="567" w:type="dxa"/>
            <w:vAlign w:val="center"/>
          </w:tcPr>
          <w:p w14:paraId="3AF787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3968" w:type="dxa"/>
            <w:vAlign w:val="center"/>
          </w:tcPr>
          <w:p w14:paraId="74102C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现有生产区现状</w:t>
            </w:r>
          </w:p>
        </w:tc>
      </w:tr>
      <w:tr w14:paraId="38418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5" w:hRule="exact"/>
          <w:jc w:val="center"/>
        </w:trPr>
        <w:tc>
          <w:tcPr>
            <w:tcW w:w="3968" w:type="dxa"/>
            <w:vAlign w:val="center"/>
          </w:tcPr>
          <w:p w14:paraId="270A99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drawing>
                <wp:inline distT="0" distB="0" distL="114300" distR="114300">
                  <wp:extent cx="2339975" cy="1755140"/>
                  <wp:effectExtent l="0" t="0" r="3175" b="16510"/>
                  <wp:docPr id="18" name="图片 18" descr="f58468113ddd26dd1879e487fd83b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58468113ddd26dd1879e487fd83b0c"/>
                          <pic:cNvPicPr>
                            <a:picLocks noChangeAspect="1"/>
                          </pic:cNvPicPr>
                        </pic:nvPicPr>
                        <pic:blipFill>
                          <a:blip r:embed="rId23"/>
                          <a:stretch>
                            <a:fillRect/>
                          </a:stretch>
                        </pic:blipFill>
                        <pic:spPr>
                          <a:xfrm>
                            <a:off x="0" y="0"/>
                            <a:ext cx="2339975" cy="1755140"/>
                          </a:xfrm>
                          <a:prstGeom prst="rect">
                            <a:avLst/>
                          </a:prstGeom>
                        </pic:spPr>
                      </pic:pic>
                    </a:graphicData>
                  </a:graphic>
                </wp:inline>
              </w:drawing>
            </w:r>
          </w:p>
        </w:tc>
        <w:tc>
          <w:tcPr>
            <w:tcW w:w="567" w:type="dxa"/>
            <w:vAlign w:val="center"/>
          </w:tcPr>
          <w:p w14:paraId="620713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3968" w:type="dxa"/>
            <w:vAlign w:val="center"/>
          </w:tcPr>
          <w:p w14:paraId="6B4FA6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drawing>
                <wp:inline distT="0" distB="0" distL="114300" distR="114300">
                  <wp:extent cx="2381250" cy="1785620"/>
                  <wp:effectExtent l="0" t="0" r="0" b="5080"/>
                  <wp:docPr id="19" name="图片 19" descr="a4bb4f808baf799bef3a9f4bd944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4bb4f808baf799bef3a9f4bd944a82"/>
                          <pic:cNvPicPr>
                            <a:picLocks noChangeAspect="1"/>
                          </pic:cNvPicPr>
                        </pic:nvPicPr>
                        <pic:blipFill>
                          <a:blip r:embed="rId24"/>
                          <a:stretch>
                            <a:fillRect/>
                          </a:stretch>
                        </pic:blipFill>
                        <pic:spPr>
                          <a:xfrm>
                            <a:off x="0" y="0"/>
                            <a:ext cx="2381250" cy="1785620"/>
                          </a:xfrm>
                          <a:prstGeom prst="rect">
                            <a:avLst/>
                          </a:prstGeom>
                        </pic:spPr>
                      </pic:pic>
                    </a:graphicData>
                  </a:graphic>
                </wp:inline>
              </w:drawing>
            </w:r>
          </w:p>
        </w:tc>
      </w:tr>
      <w:tr w14:paraId="586AA7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jc w:val="center"/>
        </w:trPr>
        <w:tc>
          <w:tcPr>
            <w:tcW w:w="3968" w:type="dxa"/>
            <w:vAlign w:val="center"/>
          </w:tcPr>
          <w:p w14:paraId="61E386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现有危险废物临时贮存库</w:t>
            </w:r>
          </w:p>
        </w:tc>
        <w:tc>
          <w:tcPr>
            <w:tcW w:w="567" w:type="dxa"/>
            <w:vAlign w:val="center"/>
          </w:tcPr>
          <w:p w14:paraId="5CCD03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3968" w:type="dxa"/>
            <w:vAlign w:val="center"/>
          </w:tcPr>
          <w:p w14:paraId="421DA2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现有危险废物临时贮存库内部</w:t>
            </w:r>
          </w:p>
        </w:tc>
      </w:tr>
      <w:tr w14:paraId="172DF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38" w:hRule="exact"/>
          <w:jc w:val="center"/>
        </w:trPr>
        <w:tc>
          <w:tcPr>
            <w:tcW w:w="3968" w:type="dxa"/>
            <w:vAlign w:val="center"/>
          </w:tcPr>
          <w:p w14:paraId="64F596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drawing>
                <wp:inline distT="0" distB="0" distL="114300" distR="114300">
                  <wp:extent cx="2340610" cy="1755775"/>
                  <wp:effectExtent l="0" t="0" r="2540" b="15875"/>
                  <wp:docPr id="16" name="图片 16" descr="0609961697cc1810cdb488fd2c8c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609961697cc1810cdb488fd2c8cdc0"/>
                          <pic:cNvPicPr>
                            <a:picLocks noChangeAspect="1"/>
                          </pic:cNvPicPr>
                        </pic:nvPicPr>
                        <pic:blipFill>
                          <a:blip r:embed="rId25"/>
                          <a:stretch>
                            <a:fillRect/>
                          </a:stretch>
                        </pic:blipFill>
                        <pic:spPr>
                          <a:xfrm>
                            <a:off x="0" y="0"/>
                            <a:ext cx="2340610" cy="1755775"/>
                          </a:xfrm>
                          <a:prstGeom prst="rect">
                            <a:avLst/>
                          </a:prstGeom>
                        </pic:spPr>
                      </pic:pic>
                    </a:graphicData>
                  </a:graphic>
                </wp:inline>
              </w:drawing>
            </w:r>
          </w:p>
        </w:tc>
        <w:tc>
          <w:tcPr>
            <w:tcW w:w="567" w:type="dxa"/>
            <w:vAlign w:val="center"/>
          </w:tcPr>
          <w:p w14:paraId="0013E8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3968" w:type="dxa"/>
            <w:vAlign w:val="center"/>
          </w:tcPr>
          <w:p w14:paraId="31847E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drawing>
                <wp:inline distT="0" distB="0" distL="114300" distR="114300">
                  <wp:extent cx="2340610" cy="1755775"/>
                  <wp:effectExtent l="0" t="0" r="2540" b="15875"/>
                  <wp:docPr id="17" name="图片 17" descr="d2577d018faf7e13da6dcc76b1f54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2577d018faf7e13da6dcc76b1f544c"/>
                          <pic:cNvPicPr>
                            <a:picLocks noChangeAspect="1"/>
                          </pic:cNvPicPr>
                        </pic:nvPicPr>
                        <pic:blipFill>
                          <a:blip r:embed="rId26"/>
                          <a:stretch>
                            <a:fillRect/>
                          </a:stretch>
                        </pic:blipFill>
                        <pic:spPr>
                          <a:xfrm>
                            <a:off x="0" y="0"/>
                            <a:ext cx="2340610" cy="1755775"/>
                          </a:xfrm>
                          <a:prstGeom prst="rect">
                            <a:avLst/>
                          </a:prstGeom>
                        </pic:spPr>
                      </pic:pic>
                    </a:graphicData>
                  </a:graphic>
                </wp:inline>
              </w:drawing>
            </w:r>
          </w:p>
        </w:tc>
      </w:tr>
      <w:tr w14:paraId="25B4E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jc w:val="center"/>
        </w:trPr>
        <w:tc>
          <w:tcPr>
            <w:tcW w:w="3968" w:type="dxa"/>
            <w:vAlign w:val="center"/>
          </w:tcPr>
          <w:p w14:paraId="064342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扩建用地现状（1）</w:t>
            </w:r>
          </w:p>
        </w:tc>
        <w:tc>
          <w:tcPr>
            <w:tcW w:w="567" w:type="dxa"/>
            <w:vAlign w:val="center"/>
          </w:tcPr>
          <w:p w14:paraId="641A2E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3968" w:type="dxa"/>
            <w:vAlign w:val="center"/>
          </w:tcPr>
          <w:p w14:paraId="5D3651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扩建用地现状（2）</w:t>
            </w:r>
          </w:p>
        </w:tc>
      </w:tr>
    </w:tbl>
    <w:p w14:paraId="2B5D8AB9">
      <w:pPr>
        <w:ind w:firstLine="964" w:firstLineChars="300"/>
        <w:rPr>
          <w:rFonts w:eastAsia="宋体"/>
          <w:b/>
          <w:color w:val="auto"/>
          <w:sz w:val="32"/>
          <w:szCs w:val="32"/>
          <w:highlight w:val="none"/>
          <w:lang w:eastAsia="zh-CN"/>
        </w:rPr>
      </w:pPr>
    </w:p>
    <w:p w14:paraId="0E391F5B">
      <w:pPr>
        <w:pStyle w:val="16"/>
        <w:spacing w:before="0" w:line="360" w:lineRule="auto"/>
        <w:ind w:left="0"/>
        <w:jc w:val="center"/>
        <w:outlineLvl w:val="9"/>
        <w:rPr>
          <w:rFonts w:ascii="Times New Roman" w:hAnsi="Times New Roman" w:eastAsia="宋体" w:cs="Times New Roman"/>
          <w:color w:val="auto"/>
          <w:highlight w:val="red"/>
          <w:lang w:eastAsia="zh-CN"/>
        </w:rPr>
        <w:sectPr>
          <w:headerReference r:id="rId3" w:type="default"/>
          <w:footerReference r:id="rId4" w:type="default"/>
          <w:footerReference r:id="rId5" w:type="even"/>
          <w:pgSz w:w="11910" w:h="16840"/>
          <w:pgMar w:top="1580" w:right="1400" w:bottom="1240" w:left="1400" w:header="0" w:footer="1043" w:gutter="0"/>
          <w:pgBorders>
            <w:top w:val="none" w:sz="0" w:space="0"/>
            <w:left w:val="none" w:sz="0" w:space="0"/>
            <w:bottom w:val="none" w:sz="0" w:space="0"/>
            <w:right w:val="none" w:sz="0" w:space="0"/>
          </w:pgBorders>
          <w:pgNumType w:start="1"/>
          <w:cols w:space="720" w:num="1"/>
        </w:sectPr>
      </w:pPr>
    </w:p>
    <w:sdt>
      <w:sdtPr>
        <w:rPr>
          <w:rFonts w:ascii="宋体" w:hAnsi="宋体" w:eastAsia="宋体" w:cstheme="minorBidi"/>
          <w:sz w:val="21"/>
          <w:szCs w:val="22"/>
          <w:lang w:val="en-US" w:eastAsia="en-US" w:bidi="ar-SA"/>
        </w:rPr>
        <w:id w:val="147459822"/>
        <w15:color w:val="DBDBDB"/>
        <w:docPartObj>
          <w:docPartGallery w:val="Table of Contents"/>
          <w:docPartUnique/>
        </w:docPartObj>
      </w:sdtPr>
      <w:sdtEndPr>
        <w:rPr>
          <w:rFonts w:ascii="宋体" w:hAnsi="宋体" w:eastAsia="宋体" w:cstheme="minorBidi"/>
          <w:sz w:val="21"/>
          <w:szCs w:val="22"/>
          <w:lang w:val="en-US" w:eastAsia="en-US" w:bidi="ar-SA"/>
        </w:rPr>
      </w:sdtEndPr>
      <w:sdtContent>
        <w:p w14:paraId="1253D40C">
          <w:pPr>
            <w:spacing w:before="0" w:beforeLines="0" w:after="0" w:afterLines="0" w:line="240" w:lineRule="auto"/>
            <w:ind w:left="0" w:leftChars="0" w:right="0" w:rightChars="0" w:firstLine="0" w:firstLineChars="0"/>
            <w:jc w:val="center"/>
          </w:pPr>
          <w:r>
            <w:rPr>
              <w:rFonts w:hint="default" w:ascii="Times New Roman" w:hAnsi="Times New Roman" w:eastAsia="宋体" w:cs="Times New Roman"/>
              <w:b/>
              <w:bCs w:val="0"/>
              <w:sz w:val="36"/>
              <w:szCs w:val="36"/>
              <w:lang w:eastAsia="zh-CN"/>
            </w:rPr>
            <w:t>目</w:t>
          </w:r>
          <w:r>
            <w:rPr>
              <w:rFonts w:hint="eastAsia" w:ascii="Times New Roman" w:hAnsi="Times New Roman" w:eastAsia="宋体" w:cs="Times New Roman"/>
              <w:b/>
              <w:bCs w:val="0"/>
              <w:sz w:val="36"/>
              <w:szCs w:val="36"/>
              <w:lang w:val="en-US" w:eastAsia="zh-CN"/>
            </w:rPr>
            <w:t xml:space="preserve">    </w:t>
          </w:r>
          <w:r>
            <w:rPr>
              <w:rFonts w:hint="default" w:ascii="Times New Roman" w:hAnsi="Times New Roman" w:eastAsia="宋体" w:cs="Times New Roman"/>
              <w:b/>
              <w:bCs w:val="0"/>
              <w:sz w:val="36"/>
              <w:szCs w:val="36"/>
              <w:lang w:eastAsia="zh-CN"/>
            </w:rPr>
            <w:t>录</w:t>
          </w:r>
        </w:p>
        <w:p w14:paraId="4DF413AD">
          <w:pPr>
            <w:pStyle w:val="25"/>
            <w:tabs>
              <w:tab w:val="right" w:leader="dot" w:pos="9110"/>
            </w:tabs>
          </w:pPr>
          <w:r>
            <w:fldChar w:fldCharType="begin"/>
          </w:r>
          <w:r>
            <w:instrText xml:space="preserve">TOC \o "1-1" \h \u </w:instrText>
          </w:r>
          <w:r>
            <w:fldChar w:fldCharType="separate"/>
          </w:r>
        </w:p>
        <w:p w14:paraId="70D7743F">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_Toc11523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一、建设项目基本情况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_Toc11523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328D697A">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_Toc31832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二、建设项目工程分析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_Toc31832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7E5F3286">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_Toc22797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三、区域环境质量现状、环境保护目标及评价标准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_Toc22797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6F19BCDF">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_Toc10309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四、主要环境影响和保护措施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_Toc10309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0C453114">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_Toc31300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五、</w:t>
          </w:r>
          <w:r>
            <w:rPr>
              <w:rFonts w:hint="default" w:ascii="Times New Roman" w:hAnsi="Times New Roman" w:eastAsia="宋体" w:cs="Times New Roman"/>
              <w:sz w:val="28"/>
              <w:szCs w:val="28"/>
              <w:highlight w:val="none"/>
              <w:lang w:val="en-US" w:eastAsia="zh-CN"/>
            </w:rPr>
            <w:t>环境保护措施</w:t>
          </w:r>
          <w:r>
            <w:rPr>
              <w:rFonts w:hint="default" w:ascii="Times New Roman" w:hAnsi="Times New Roman" w:eastAsia="宋体" w:cs="Times New Roman"/>
              <w:sz w:val="28"/>
              <w:szCs w:val="28"/>
              <w:highlight w:val="none"/>
              <w:lang w:eastAsia="zh-CN"/>
            </w:rPr>
            <w:t>监督检查清单</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_Toc31300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7E64AE79">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_Toc13890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六、结论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_Toc13890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376F510A">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_Toc22921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bCs/>
              <w:sz w:val="28"/>
              <w:szCs w:val="28"/>
              <w:lang w:eastAsia="zh-CN"/>
            </w:rPr>
            <w:t>附表</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_Toc22921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10ABDF2E">
          <w:pPr>
            <w:pStyle w:val="25"/>
            <w:keepNext w:val="0"/>
            <w:keepLines w:val="0"/>
            <w:pageBreakBefore w:val="0"/>
            <w:widowControl w:val="0"/>
            <w:tabs>
              <w:tab w:val="right" w:leader="dot" w:pos="911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_Toc25179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bCs/>
              <w:sz w:val="28"/>
              <w:szCs w:val="28"/>
              <w:lang w:val="en-US" w:eastAsia="zh-CN"/>
            </w:rPr>
            <w:t>附录</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_Toc25179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14:paraId="53ACC3A0">
          <w:r>
            <w:fldChar w:fldCharType="end"/>
          </w:r>
        </w:p>
      </w:sdtContent>
    </w:sdt>
    <w:p w14:paraId="75CAFB23">
      <w:pPr>
        <w:rPr>
          <w:rFonts w:hint="eastAsia" w:ascii="华文中宋" w:hAnsi="华文中宋" w:eastAsia="华文中宋" w:cs="华文中宋"/>
          <w:b/>
          <w:bCs/>
          <w:color w:val="auto"/>
          <w:sz w:val="32"/>
          <w:szCs w:val="32"/>
          <w:highlight w:val="none"/>
          <w:lang w:eastAsia="zh-CN"/>
        </w:rPr>
      </w:pPr>
    </w:p>
    <w:p w14:paraId="45376D9B">
      <w:pPr>
        <w:pStyle w:val="2"/>
        <w:rPr>
          <w:rFonts w:hint="eastAsia" w:ascii="华文中宋" w:hAnsi="华文中宋" w:eastAsia="华文中宋" w:cs="华文中宋"/>
          <w:b/>
          <w:bCs/>
          <w:color w:val="auto"/>
          <w:sz w:val="32"/>
          <w:szCs w:val="32"/>
          <w:highlight w:val="none"/>
          <w:lang w:eastAsia="zh-CN"/>
        </w:rPr>
      </w:pPr>
    </w:p>
    <w:p w14:paraId="3793A5F6">
      <w:pPr>
        <w:pStyle w:val="3"/>
        <w:rPr>
          <w:rFonts w:hint="eastAsia" w:ascii="华文中宋" w:hAnsi="华文中宋" w:eastAsia="华文中宋" w:cs="华文中宋"/>
          <w:b/>
          <w:bCs/>
          <w:color w:val="auto"/>
          <w:sz w:val="32"/>
          <w:szCs w:val="32"/>
          <w:highlight w:val="none"/>
          <w:lang w:eastAsia="zh-CN"/>
        </w:rPr>
      </w:pPr>
    </w:p>
    <w:p w14:paraId="379F484F">
      <w:pPr>
        <w:pStyle w:val="5"/>
        <w:rPr>
          <w:rFonts w:hint="eastAsia" w:ascii="华文中宋" w:hAnsi="华文中宋" w:eastAsia="华文中宋" w:cs="华文中宋"/>
          <w:b/>
          <w:bCs/>
          <w:color w:val="auto"/>
          <w:sz w:val="32"/>
          <w:szCs w:val="32"/>
          <w:highlight w:val="none"/>
          <w:lang w:eastAsia="zh-CN"/>
        </w:rPr>
      </w:pPr>
      <w:bookmarkStart w:id="39" w:name="_GoBack"/>
      <w:bookmarkEnd w:id="39"/>
    </w:p>
    <w:p w14:paraId="61C723EE">
      <w:pPr>
        <w:rPr>
          <w:rFonts w:hint="eastAsia" w:ascii="华文中宋" w:hAnsi="华文中宋" w:eastAsia="华文中宋" w:cs="华文中宋"/>
          <w:b/>
          <w:bCs/>
          <w:color w:val="auto"/>
          <w:sz w:val="32"/>
          <w:szCs w:val="32"/>
          <w:highlight w:val="none"/>
          <w:lang w:eastAsia="zh-CN"/>
        </w:rPr>
      </w:pPr>
    </w:p>
    <w:p w14:paraId="45FEE3B8">
      <w:pPr>
        <w:pStyle w:val="2"/>
        <w:rPr>
          <w:rFonts w:hint="eastAsia" w:ascii="华文中宋" w:hAnsi="华文中宋" w:eastAsia="华文中宋" w:cs="华文中宋"/>
          <w:b/>
          <w:bCs/>
          <w:color w:val="auto"/>
          <w:sz w:val="32"/>
          <w:szCs w:val="32"/>
          <w:highlight w:val="none"/>
          <w:lang w:eastAsia="zh-CN"/>
        </w:rPr>
      </w:pPr>
    </w:p>
    <w:p w14:paraId="5878BC80">
      <w:pPr>
        <w:pStyle w:val="3"/>
        <w:rPr>
          <w:rFonts w:hint="eastAsia" w:ascii="华文中宋" w:hAnsi="华文中宋" w:eastAsia="华文中宋" w:cs="华文中宋"/>
          <w:b/>
          <w:bCs/>
          <w:color w:val="auto"/>
          <w:sz w:val="32"/>
          <w:szCs w:val="32"/>
          <w:highlight w:val="none"/>
          <w:lang w:eastAsia="zh-CN"/>
        </w:rPr>
      </w:pPr>
    </w:p>
    <w:p w14:paraId="770E5BC6">
      <w:pPr>
        <w:pStyle w:val="5"/>
        <w:rPr>
          <w:rFonts w:hint="eastAsia" w:ascii="华文中宋" w:hAnsi="华文中宋" w:eastAsia="华文中宋" w:cs="华文中宋"/>
          <w:b/>
          <w:bCs/>
          <w:color w:val="auto"/>
          <w:sz w:val="32"/>
          <w:szCs w:val="32"/>
          <w:highlight w:val="none"/>
          <w:lang w:eastAsia="zh-CN"/>
        </w:rPr>
      </w:pPr>
    </w:p>
    <w:p w14:paraId="6AC2A0BE">
      <w:pPr>
        <w:rPr>
          <w:rFonts w:hint="eastAsia" w:ascii="华文中宋" w:hAnsi="华文中宋" w:eastAsia="华文中宋" w:cs="华文中宋"/>
          <w:b/>
          <w:bCs/>
          <w:color w:val="auto"/>
          <w:sz w:val="32"/>
          <w:szCs w:val="32"/>
          <w:highlight w:val="none"/>
          <w:lang w:eastAsia="zh-CN"/>
        </w:rPr>
      </w:pPr>
    </w:p>
    <w:p w14:paraId="4E6543C1">
      <w:pPr>
        <w:pStyle w:val="2"/>
        <w:rPr>
          <w:rFonts w:hint="eastAsia" w:ascii="华文中宋" w:hAnsi="华文中宋" w:eastAsia="华文中宋" w:cs="华文中宋"/>
          <w:b/>
          <w:bCs/>
          <w:color w:val="auto"/>
          <w:sz w:val="32"/>
          <w:szCs w:val="32"/>
          <w:highlight w:val="none"/>
          <w:lang w:eastAsia="zh-CN"/>
        </w:rPr>
      </w:pPr>
    </w:p>
    <w:p w14:paraId="74E89865">
      <w:pPr>
        <w:pStyle w:val="3"/>
        <w:rPr>
          <w:rFonts w:hint="default" w:ascii="Times New Roman" w:hAnsi="Times New Roman" w:cs="Times New Roman"/>
          <w:color w:val="auto"/>
          <w:lang w:val="en-US" w:eastAsia="zh-CN"/>
        </w:rPr>
      </w:pPr>
    </w:p>
    <w:p w14:paraId="6F28E08E">
      <w:pPr>
        <w:pStyle w:val="3"/>
        <w:rPr>
          <w:rFonts w:hint="default" w:ascii="Times New Roman" w:hAnsi="Times New Roman" w:cs="Times New Roman"/>
          <w:color w:val="auto"/>
          <w:lang w:val="en-US" w:eastAsia="zh-CN"/>
        </w:rPr>
      </w:pPr>
    </w:p>
    <w:p w14:paraId="793C5C41">
      <w:pPr>
        <w:pStyle w:val="3"/>
        <w:rPr>
          <w:rFonts w:hint="default" w:ascii="Times New Roman" w:hAnsi="Times New Roman" w:cs="Times New Roman"/>
          <w:color w:val="auto"/>
          <w:lang w:val="en-US" w:eastAsia="zh-CN"/>
        </w:rPr>
      </w:pPr>
    </w:p>
    <w:p w14:paraId="67194CC2">
      <w:pPr>
        <w:pStyle w:val="3"/>
        <w:rPr>
          <w:rFonts w:hint="default" w:ascii="Times New Roman" w:hAnsi="Times New Roman" w:cs="Times New Roman"/>
          <w:color w:val="auto"/>
          <w:lang w:val="en-US" w:eastAsia="zh-CN"/>
        </w:rPr>
      </w:pPr>
    </w:p>
    <w:p w14:paraId="4302DAB7">
      <w:pPr>
        <w:pStyle w:val="3"/>
        <w:rPr>
          <w:rFonts w:hint="default" w:ascii="Times New Roman" w:hAnsi="Times New Roman" w:cs="Times New Roman"/>
          <w:color w:val="auto"/>
          <w:lang w:val="en-US" w:eastAsia="zh-CN"/>
        </w:rPr>
      </w:pPr>
    </w:p>
    <w:p w14:paraId="7727FFC8">
      <w:pPr>
        <w:pStyle w:val="3"/>
        <w:rPr>
          <w:rFonts w:hint="default" w:ascii="Times New Roman" w:hAnsi="Times New Roman" w:cs="Times New Roman"/>
          <w:color w:val="auto"/>
          <w:lang w:val="en-US" w:eastAsia="zh-CN"/>
        </w:rPr>
      </w:pPr>
    </w:p>
    <w:p w14:paraId="56B7A793">
      <w:pPr>
        <w:pStyle w:val="3"/>
        <w:rPr>
          <w:rFonts w:hint="eastAsia" w:ascii="华文中宋" w:hAnsi="华文中宋" w:eastAsia="华文中宋" w:cs="华文中宋"/>
          <w:b/>
          <w:bCs/>
          <w:color w:val="auto"/>
          <w:sz w:val="32"/>
          <w:szCs w:val="32"/>
          <w:highlight w:val="none"/>
          <w:lang w:eastAsia="zh-CN"/>
        </w:rPr>
      </w:pPr>
      <w:r>
        <w:rPr>
          <w:rFonts w:hint="default" w:ascii="Times New Roman" w:hAnsi="Times New Roman" w:cs="Times New Roman"/>
          <w:color w:val="auto"/>
          <w:lang w:val="en-US" w:eastAsia="zh-CN"/>
        </w:rPr>
        <w:t>注：本</w:t>
      </w:r>
      <w:r>
        <w:rPr>
          <w:rFonts w:hint="eastAsia" w:ascii="Times New Roman" w:cs="Times New Roman"/>
          <w:color w:val="auto"/>
          <w:lang w:val="en-US" w:eastAsia="zh-CN"/>
        </w:rPr>
        <w:t>报告</w:t>
      </w:r>
      <w:r>
        <w:rPr>
          <w:rFonts w:hint="default" w:ascii="Times New Roman" w:hAnsi="Times New Roman" w:cs="Times New Roman"/>
          <w:color w:val="auto"/>
          <w:lang w:val="en-US" w:eastAsia="zh-CN"/>
        </w:rPr>
        <w:t>根据山西省生态环境厅</w:t>
      </w:r>
      <w:r>
        <w:rPr>
          <w:rFonts w:hint="eastAsia" w:ascii="Times New Roman" w:hAnsi="Times New Roman" w:cs="Times New Roman"/>
          <w:color w:val="auto"/>
          <w:lang w:val="en-US" w:eastAsia="zh-CN"/>
        </w:rPr>
        <w:t>发布的</w:t>
      </w:r>
      <w:r>
        <w:rPr>
          <w:rFonts w:hint="default" w:ascii="Times New Roman" w:hAnsi="Times New Roman" w:cs="Times New Roman"/>
          <w:color w:val="auto"/>
          <w:lang w:val="en-US" w:eastAsia="zh-CN"/>
        </w:rPr>
        <w:t>《山西省重点行业“一本式”环评报告编制技术指南（试行）》（晋环函〔2023〕1037号）附件中第1</w:t>
      </w:r>
      <w:r>
        <w:rPr>
          <w:rFonts w:hint="eastAsia" w:ascii="Times New Roman" w:cs="Times New Roman"/>
          <w:color w:val="auto"/>
          <w:lang w:val="en-US" w:eastAsia="zh-CN"/>
        </w:rPr>
        <w:t>3</w:t>
      </w:r>
      <w:r>
        <w:rPr>
          <w:rFonts w:hint="default" w:ascii="Times New Roman" w:hAnsi="Times New Roman" w:cs="Times New Roman"/>
          <w:color w:val="auto"/>
          <w:lang w:val="en-US" w:eastAsia="zh-CN"/>
        </w:rPr>
        <w:t>《山西省重点行业“一本式”环评报告编制技术指南 石墨及其他非金属矿物制品制造</w:t>
      </w:r>
      <w:r>
        <w:rPr>
          <w:rFonts w:hint="eastAsia" w:ascii="Times New Roman" w:cs="Times New Roman"/>
          <w:color w:val="auto"/>
          <w:lang w:val="en-US" w:eastAsia="zh-CN"/>
        </w:rPr>
        <w:t>（报告表）（试行）</w:t>
      </w:r>
      <w:r>
        <w:rPr>
          <w:rFonts w:hint="default" w:ascii="Times New Roman" w:hAnsi="Times New Roman" w:cs="Times New Roman"/>
          <w:color w:val="auto"/>
          <w:lang w:val="en-US" w:eastAsia="zh-CN"/>
        </w:rPr>
        <w:t>》进行编制</w:t>
      </w:r>
      <w:r>
        <w:rPr>
          <w:rFonts w:hint="eastAsia" w:ascii="Times New Roman" w:cs="Times New Roman"/>
          <w:color w:val="auto"/>
          <w:lang w:val="en-US" w:eastAsia="zh-CN"/>
        </w:rPr>
        <w:t>。</w:t>
      </w:r>
    </w:p>
    <w:p w14:paraId="1CE711D8">
      <w:pPr>
        <w:pStyle w:val="5"/>
        <w:rPr>
          <w:rFonts w:hint="eastAsia" w:ascii="华文中宋" w:hAnsi="华文中宋" w:eastAsia="华文中宋" w:cs="华文中宋"/>
          <w:b/>
          <w:bCs/>
          <w:color w:val="auto"/>
          <w:sz w:val="32"/>
          <w:szCs w:val="32"/>
          <w:highlight w:val="none"/>
          <w:lang w:eastAsia="zh-CN"/>
        </w:rPr>
      </w:pPr>
    </w:p>
    <w:p w14:paraId="2B22580B">
      <w:pPr>
        <w:rPr>
          <w:rFonts w:hint="eastAsia"/>
          <w:lang w:eastAsia="zh-CN"/>
        </w:rPr>
        <w:sectPr>
          <w:headerReference r:id="rId6" w:type="default"/>
          <w:footerReference r:id="rId7" w:type="default"/>
          <w:footerReference r:id="rId8" w:type="even"/>
          <w:pgSz w:w="11910" w:h="16840"/>
          <w:pgMar w:top="1580" w:right="1400" w:bottom="1240" w:left="1400" w:header="0" w:footer="1043" w:gutter="0"/>
          <w:pgBorders>
            <w:top w:val="none" w:sz="0" w:space="0"/>
            <w:left w:val="none" w:sz="0" w:space="0"/>
            <w:bottom w:val="none" w:sz="0" w:space="0"/>
            <w:right w:val="none" w:sz="0" w:space="0"/>
          </w:pgBorders>
          <w:pgNumType w:start="1"/>
          <w:cols w:space="720" w:num="1"/>
        </w:sectPr>
      </w:pPr>
    </w:p>
    <w:p w14:paraId="61A3F106">
      <w:pPr>
        <w:rPr>
          <w:rFonts w:hint="eastAsia" w:ascii="华文中宋" w:hAnsi="华文中宋" w:eastAsia="华文中宋" w:cs="华文中宋"/>
          <w:b/>
          <w:bCs/>
          <w:color w:val="auto"/>
          <w:sz w:val="32"/>
          <w:szCs w:val="32"/>
          <w:highlight w:val="none"/>
          <w:lang w:eastAsia="zh-CN"/>
        </w:rPr>
      </w:pPr>
    </w:p>
    <w:p w14:paraId="48E35192">
      <w:pPr>
        <w:pStyle w:val="16"/>
        <w:spacing w:before="0" w:line="360" w:lineRule="auto"/>
        <w:ind w:left="0"/>
        <w:jc w:val="center"/>
        <w:outlineLvl w:val="0"/>
        <w:rPr>
          <w:rFonts w:ascii="Times New Roman" w:hAnsi="Times New Roman" w:eastAsia="宋体" w:cs="Times New Roman"/>
          <w:b/>
          <w:color w:val="auto"/>
          <w:lang w:eastAsia="zh-CN"/>
        </w:rPr>
      </w:pPr>
      <w:bookmarkStart w:id="9" w:name="_Toc11523"/>
      <w:r>
        <w:rPr>
          <w:rFonts w:ascii="Times New Roman" w:hAnsi="Times New Roman" w:eastAsia="宋体" w:cs="Times New Roman"/>
          <w:b/>
          <w:color w:val="auto"/>
          <w:lang w:eastAsia="zh-CN"/>
        </w:rPr>
        <w:t>一、建设项目基本情况</w:t>
      </w:r>
      <w:bookmarkEnd w:id="9"/>
    </w:p>
    <w:tbl>
      <w:tblPr>
        <w:tblStyle w:val="32"/>
        <w:tblW w:w="93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944"/>
        <w:gridCol w:w="2290"/>
        <w:gridCol w:w="2188"/>
        <w:gridCol w:w="2952"/>
      </w:tblGrid>
      <w:tr w14:paraId="2A713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944" w:type="dxa"/>
            <w:tcBorders>
              <w:tl2br w:val="nil"/>
              <w:tr2bl w:val="nil"/>
            </w:tcBorders>
            <w:tcMar>
              <w:top w:w="16" w:type="dxa"/>
              <w:left w:w="16" w:type="dxa"/>
              <w:right w:w="16" w:type="dxa"/>
            </w:tcMar>
            <w:vAlign w:val="center"/>
          </w:tcPr>
          <w:p w14:paraId="1F389F1F">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建设项目名称</w:t>
            </w:r>
          </w:p>
        </w:tc>
        <w:tc>
          <w:tcPr>
            <w:tcW w:w="7430" w:type="dxa"/>
            <w:gridSpan w:val="3"/>
            <w:tcBorders>
              <w:tl2br w:val="nil"/>
              <w:tr2bl w:val="nil"/>
            </w:tcBorders>
            <w:vAlign w:val="center"/>
          </w:tcPr>
          <w:p w14:paraId="44393E98">
            <w:pPr>
              <w:adjustRightInd w:val="0"/>
              <w:snapToGrid w:val="0"/>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长治市瑞兴冶金熔剂有限公司石灰深加工扩建项目</w:t>
            </w:r>
          </w:p>
        </w:tc>
      </w:tr>
      <w:tr w14:paraId="20C0DF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944" w:type="dxa"/>
            <w:tcBorders>
              <w:tl2br w:val="nil"/>
              <w:tr2bl w:val="nil"/>
            </w:tcBorders>
            <w:tcMar>
              <w:top w:w="16" w:type="dxa"/>
              <w:left w:w="16" w:type="dxa"/>
              <w:right w:w="16" w:type="dxa"/>
            </w:tcMar>
            <w:vAlign w:val="center"/>
          </w:tcPr>
          <w:p w14:paraId="11DF4736">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项目代码</w:t>
            </w:r>
          </w:p>
        </w:tc>
        <w:tc>
          <w:tcPr>
            <w:tcW w:w="7430" w:type="dxa"/>
            <w:gridSpan w:val="3"/>
            <w:tcBorders>
              <w:tl2br w:val="nil"/>
              <w:tr2bl w:val="nil"/>
            </w:tcBorders>
            <w:vAlign w:val="center"/>
          </w:tcPr>
          <w:p w14:paraId="2655618A">
            <w:pPr>
              <w:adjustRightInd w:val="0"/>
              <w:snapToGrid w:val="0"/>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2411-140406-89-05-189890</w:t>
            </w:r>
          </w:p>
        </w:tc>
      </w:tr>
      <w:tr w14:paraId="15FD67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30" w:hRule="atLeast"/>
          <w:jc w:val="center"/>
        </w:trPr>
        <w:tc>
          <w:tcPr>
            <w:tcW w:w="1944" w:type="dxa"/>
            <w:tcBorders>
              <w:tl2br w:val="nil"/>
              <w:tr2bl w:val="nil"/>
            </w:tcBorders>
            <w:tcMar>
              <w:top w:w="16" w:type="dxa"/>
              <w:left w:w="16" w:type="dxa"/>
              <w:right w:w="16" w:type="dxa"/>
            </w:tcMar>
            <w:vAlign w:val="center"/>
          </w:tcPr>
          <w:p w14:paraId="5B369DC0">
            <w:pPr>
              <w:adjustRightInd w:val="0"/>
              <w:snapToGrid w:val="0"/>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建设单位联系人</w:t>
            </w:r>
          </w:p>
        </w:tc>
        <w:tc>
          <w:tcPr>
            <w:tcW w:w="2290" w:type="dxa"/>
            <w:tcBorders>
              <w:tl2br w:val="nil"/>
              <w:tr2bl w:val="nil"/>
            </w:tcBorders>
            <w:vAlign w:val="center"/>
          </w:tcPr>
          <w:p w14:paraId="1EDA298E">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杨爱国</w:t>
            </w:r>
          </w:p>
        </w:tc>
        <w:tc>
          <w:tcPr>
            <w:tcW w:w="2188" w:type="dxa"/>
            <w:tcBorders>
              <w:tl2br w:val="nil"/>
              <w:tr2bl w:val="nil"/>
            </w:tcBorders>
            <w:vAlign w:val="center"/>
          </w:tcPr>
          <w:p w14:paraId="0D63EFC6">
            <w:pPr>
              <w:adjustRightInd w:val="0"/>
              <w:snapToGrid w:val="0"/>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联系方式</w:t>
            </w:r>
          </w:p>
        </w:tc>
        <w:tc>
          <w:tcPr>
            <w:tcW w:w="2952" w:type="dxa"/>
            <w:tcBorders>
              <w:tl2br w:val="nil"/>
              <w:tr2bl w:val="nil"/>
            </w:tcBorders>
            <w:vAlign w:val="center"/>
          </w:tcPr>
          <w:p w14:paraId="0ECB4D48">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13835518588</w:t>
            </w:r>
          </w:p>
        </w:tc>
      </w:tr>
      <w:tr w14:paraId="41325F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1944" w:type="dxa"/>
            <w:tcBorders>
              <w:tl2br w:val="nil"/>
              <w:tr2bl w:val="nil"/>
            </w:tcBorders>
            <w:tcMar>
              <w:top w:w="16" w:type="dxa"/>
              <w:left w:w="16" w:type="dxa"/>
              <w:right w:w="16" w:type="dxa"/>
            </w:tcMar>
            <w:vAlign w:val="center"/>
          </w:tcPr>
          <w:p w14:paraId="6DB93C4D">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建设地点</w:t>
            </w:r>
          </w:p>
        </w:tc>
        <w:tc>
          <w:tcPr>
            <w:tcW w:w="7430" w:type="dxa"/>
            <w:gridSpan w:val="3"/>
            <w:tcBorders>
              <w:tl2br w:val="nil"/>
              <w:tr2bl w:val="nil"/>
            </w:tcBorders>
            <w:vAlign w:val="center"/>
          </w:tcPr>
          <w:p w14:paraId="55CEEA2E">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山西省长治市潞城区史回镇</w:t>
            </w:r>
            <w:r>
              <w:rPr>
                <w:rFonts w:hint="eastAsia" w:ascii="Times New Roman" w:hAnsi="Times New Roman" w:eastAsia="宋体" w:cs="Times New Roman"/>
                <w:color w:val="auto"/>
                <w:sz w:val="24"/>
                <w:szCs w:val="24"/>
                <w:lang w:val="en-US" w:eastAsia="zh-CN"/>
              </w:rPr>
              <w:t>闫李庄村东侧132m</w:t>
            </w:r>
          </w:p>
        </w:tc>
      </w:tr>
      <w:tr w14:paraId="7DA0AF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44" w:type="dxa"/>
            <w:tcBorders>
              <w:tl2br w:val="nil"/>
              <w:tr2bl w:val="nil"/>
            </w:tcBorders>
            <w:tcMar>
              <w:top w:w="16" w:type="dxa"/>
              <w:left w:w="16" w:type="dxa"/>
              <w:right w:w="16" w:type="dxa"/>
            </w:tcMar>
            <w:vAlign w:val="center"/>
          </w:tcPr>
          <w:p w14:paraId="596B7D2C">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地理坐标</w:t>
            </w:r>
          </w:p>
        </w:tc>
        <w:tc>
          <w:tcPr>
            <w:tcW w:w="7430" w:type="dxa"/>
            <w:gridSpan w:val="3"/>
            <w:tcBorders>
              <w:tl2br w:val="nil"/>
              <w:tr2bl w:val="nil"/>
            </w:tcBorders>
            <w:vAlign w:val="center"/>
          </w:tcPr>
          <w:p w14:paraId="05590BAD">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东经：113°9′33.97″，北纬：36°22′26.61″</w:t>
            </w:r>
          </w:p>
        </w:tc>
      </w:tr>
      <w:tr w14:paraId="27262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944" w:type="dxa"/>
            <w:tcBorders>
              <w:tl2br w:val="nil"/>
              <w:tr2bl w:val="nil"/>
            </w:tcBorders>
            <w:tcMar>
              <w:top w:w="16" w:type="dxa"/>
              <w:left w:w="16" w:type="dxa"/>
              <w:right w:w="16" w:type="dxa"/>
            </w:tcMar>
            <w:vAlign w:val="center"/>
          </w:tcPr>
          <w:p w14:paraId="4AD9BD67">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国民经济</w:t>
            </w:r>
          </w:p>
          <w:p w14:paraId="5BCFE4D8">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行业类别</w:t>
            </w:r>
          </w:p>
        </w:tc>
        <w:tc>
          <w:tcPr>
            <w:tcW w:w="2290" w:type="dxa"/>
            <w:tcBorders>
              <w:tl2br w:val="nil"/>
              <w:tr2bl w:val="nil"/>
            </w:tcBorders>
            <w:vAlign w:val="center"/>
          </w:tcPr>
          <w:p w14:paraId="3FB742F7">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C3012 石灰和石膏制造</w:t>
            </w:r>
          </w:p>
        </w:tc>
        <w:tc>
          <w:tcPr>
            <w:tcW w:w="2188" w:type="dxa"/>
            <w:tcBorders>
              <w:tl2br w:val="nil"/>
              <w:tr2bl w:val="nil"/>
            </w:tcBorders>
            <w:vAlign w:val="center"/>
          </w:tcPr>
          <w:p w14:paraId="1B4ED39D">
            <w:pPr>
              <w:adjustRightInd w:val="0"/>
              <w:snapToGrid w:val="0"/>
              <w:jc w:val="center"/>
              <w:rPr>
                <w:rFonts w:ascii="Times New Roman" w:hAnsi="Times New Roman" w:eastAsia="宋体" w:cs="Times New Roman"/>
                <w:color w:val="auto"/>
                <w:sz w:val="24"/>
                <w:szCs w:val="24"/>
              </w:rPr>
            </w:pPr>
            <w:bookmarkStart w:id="10" w:name="_Hlk49843745"/>
            <w:r>
              <w:rPr>
                <w:rFonts w:ascii="Times New Roman" w:hAnsi="Times New Roman" w:eastAsia="宋体" w:cs="Times New Roman"/>
                <w:color w:val="auto"/>
                <w:sz w:val="24"/>
                <w:szCs w:val="24"/>
              </w:rPr>
              <w:t>建设项目</w:t>
            </w:r>
          </w:p>
          <w:p w14:paraId="5D843997">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行业类别</w:t>
            </w:r>
            <w:bookmarkEnd w:id="10"/>
          </w:p>
        </w:tc>
        <w:tc>
          <w:tcPr>
            <w:tcW w:w="2952" w:type="dxa"/>
            <w:tcBorders>
              <w:tl2br w:val="nil"/>
              <w:tr2bl w:val="nil"/>
            </w:tcBorders>
            <w:vAlign w:val="center"/>
          </w:tcPr>
          <w:p w14:paraId="13039D84">
            <w:pPr>
              <w:adjustRightInd w:val="0"/>
              <w:snapToGrid w:val="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二十七、非金属矿物制品业30—54.水泥、石灰和石膏制造301；</w:t>
            </w:r>
          </w:p>
        </w:tc>
      </w:tr>
      <w:tr w14:paraId="38B85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944" w:type="dxa"/>
            <w:tcBorders>
              <w:tl2br w:val="nil"/>
              <w:tr2bl w:val="nil"/>
            </w:tcBorders>
            <w:tcMar>
              <w:top w:w="16" w:type="dxa"/>
              <w:left w:w="16" w:type="dxa"/>
              <w:right w:w="16" w:type="dxa"/>
            </w:tcMar>
            <w:vAlign w:val="center"/>
          </w:tcPr>
          <w:p w14:paraId="488FB58A">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建设性质</w:t>
            </w:r>
          </w:p>
        </w:tc>
        <w:tc>
          <w:tcPr>
            <w:tcW w:w="2290" w:type="dxa"/>
            <w:tcBorders>
              <w:tl2br w:val="nil"/>
              <w:tr2bl w:val="nil"/>
            </w:tcBorders>
            <w:vAlign w:val="center"/>
          </w:tcPr>
          <w:p w14:paraId="5279CE8C">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lang w:eastAsia="zh-CN"/>
              </w:rPr>
              <w:t>新建（迁建）</w:t>
            </w:r>
          </w:p>
          <w:p w14:paraId="7C309F0A">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lang w:eastAsia="zh-CN"/>
              </w:rPr>
              <w:t>改建</w:t>
            </w:r>
          </w:p>
          <w:p w14:paraId="383C1FE9">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FE"/>
            </w:r>
            <w:r>
              <w:rPr>
                <w:rFonts w:ascii="Times New Roman" w:hAnsi="Times New Roman" w:eastAsia="宋体" w:cs="Times New Roman"/>
                <w:color w:val="auto"/>
                <w:sz w:val="24"/>
                <w:szCs w:val="24"/>
                <w:lang w:eastAsia="zh-CN"/>
              </w:rPr>
              <w:t>扩建</w:t>
            </w:r>
          </w:p>
          <w:p w14:paraId="034095EA">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lang w:eastAsia="zh-CN"/>
              </w:rPr>
              <w:t>技术改造</w:t>
            </w:r>
          </w:p>
        </w:tc>
        <w:tc>
          <w:tcPr>
            <w:tcW w:w="2188" w:type="dxa"/>
            <w:tcBorders>
              <w:tl2br w:val="nil"/>
              <w:tr2bl w:val="nil"/>
            </w:tcBorders>
            <w:vAlign w:val="center"/>
          </w:tcPr>
          <w:p w14:paraId="675DD7D6">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建设项目</w:t>
            </w:r>
          </w:p>
          <w:p w14:paraId="0327C9F9">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申报情形</w:t>
            </w:r>
          </w:p>
        </w:tc>
        <w:tc>
          <w:tcPr>
            <w:tcW w:w="2952" w:type="dxa"/>
            <w:tcBorders>
              <w:tl2br w:val="nil"/>
              <w:tr2bl w:val="nil"/>
            </w:tcBorders>
            <w:vAlign w:val="center"/>
          </w:tcPr>
          <w:p w14:paraId="6710AD19">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FE"/>
            </w:r>
            <w:r>
              <w:rPr>
                <w:rFonts w:ascii="Times New Roman" w:hAnsi="Times New Roman" w:eastAsia="宋体" w:cs="Times New Roman"/>
                <w:color w:val="auto"/>
                <w:sz w:val="24"/>
                <w:szCs w:val="24"/>
                <w:lang w:eastAsia="zh-CN"/>
              </w:rPr>
              <w:t>首次申报项目</w:t>
            </w:r>
          </w:p>
          <w:p w14:paraId="6FE76C12">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lang w:eastAsia="zh-CN"/>
              </w:rPr>
              <w:t>不予批准后再次申报项目</w:t>
            </w:r>
          </w:p>
          <w:p w14:paraId="37319760">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lang w:eastAsia="zh-CN"/>
              </w:rPr>
              <w:t>超五年重新审核项目</w:t>
            </w:r>
          </w:p>
          <w:p w14:paraId="16EE50ED">
            <w:pP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lang w:eastAsia="zh-CN"/>
              </w:rPr>
              <w:t>重大变动重新报批项目</w:t>
            </w:r>
          </w:p>
        </w:tc>
      </w:tr>
      <w:tr w14:paraId="689F5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28" w:hRule="atLeast"/>
          <w:jc w:val="center"/>
        </w:trPr>
        <w:tc>
          <w:tcPr>
            <w:tcW w:w="1944" w:type="dxa"/>
            <w:tcBorders>
              <w:tl2br w:val="nil"/>
              <w:tr2bl w:val="nil"/>
            </w:tcBorders>
            <w:tcMar>
              <w:top w:w="16" w:type="dxa"/>
              <w:left w:w="16" w:type="dxa"/>
              <w:right w:w="16" w:type="dxa"/>
            </w:tcMar>
            <w:vAlign w:val="center"/>
          </w:tcPr>
          <w:p w14:paraId="4FBB092A">
            <w:pPr>
              <w:adjustRightInd w:val="0"/>
              <w:snapToGrid w:val="0"/>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项目审批（核准/</w:t>
            </w:r>
          </w:p>
          <w:p w14:paraId="2B6A5ADF">
            <w:pPr>
              <w:adjustRightInd w:val="0"/>
              <w:snapToGrid w:val="0"/>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备案）部门（选填）</w:t>
            </w:r>
          </w:p>
        </w:tc>
        <w:tc>
          <w:tcPr>
            <w:tcW w:w="2290" w:type="dxa"/>
            <w:tcBorders>
              <w:tl2br w:val="nil"/>
              <w:tr2bl w:val="nil"/>
            </w:tcBorders>
            <w:vAlign w:val="center"/>
          </w:tcPr>
          <w:p w14:paraId="4C811F7C">
            <w:pPr>
              <w:adjustRightInd w:val="0"/>
              <w:snapToGrid w:val="0"/>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长治市潞城区行政审批服务管理局</w:t>
            </w:r>
          </w:p>
        </w:tc>
        <w:tc>
          <w:tcPr>
            <w:tcW w:w="2188" w:type="dxa"/>
            <w:tcBorders>
              <w:tl2br w:val="nil"/>
              <w:tr2bl w:val="nil"/>
            </w:tcBorders>
            <w:vAlign w:val="center"/>
          </w:tcPr>
          <w:p w14:paraId="6A2F565F">
            <w:pPr>
              <w:adjustRightInd w:val="0"/>
              <w:snapToGrid w:val="0"/>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项目审批（核准/</w:t>
            </w:r>
          </w:p>
          <w:p w14:paraId="49479B5E">
            <w:pPr>
              <w:adjustRightInd w:val="0"/>
              <w:snapToGrid w:val="0"/>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备案）文号（选填）</w:t>
            </w:r>
          </w:p>
        </w:tc>
        <w:tc>
          <w:tcPr>
            <w:tcW w:w="2952" w:type="dxa"/>
            <w:tcBorders>
              <w:tl2br w:val="nil"/>
              <w:tr2bl w:val="nil"/>
            </w:tcBorders>
            <w:vAlign w:val="center"/>
          </w:tcPr>
          <w:p w14:paraId="12FC8F95">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lang w:eastAsia="zh-CN"/>
              </w:rPr>
              <w:t>无</w:t>
            </w:r>
          </w:p>
        </w:tc>
      </w:tr>
      <w:tr w14:paraId="7BF280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944" w:type="dxa"/>
            <w:tcBorders>
              <w:tl2br w:val="nil"/>
              <w:tr2bl w:val="nil"/>
            </w:tcBorders>
            <w:tcMar>
              <w:top w:w="16" w:type="dxa"/>
              <w:left w:w="16" w:type="dxa"/>
              <w:right w:w="16" w:type="dxa"/>
            </w:tcMar>
            <w:vAlign w:val="center"/>
          </w:tcPr>
          <w:p w14:paraId="5BA265D9">
            <w:pPr>
              <w:adjustRightInd w:val="0"/>
              <w:snapToGrid w:val="0"/>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总投资（万元）</w:t>
            </w:r>
          </w:p>
        </w:tc>
        <w:tc>
          <w:tcPr>
            <w:tcW w:w="2290" w:type="dxa"/>
            <w:tcBorders>
              <w:tl2br w:val="nil"/>
              <w:tr2bl w:val="nil"/>
            </w:tcBorders>
            <w:vAlign w:val="center"/>
          </w:tcPr>
          <w:p w14:paraId="22533AA7">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200</w:t>
            </w:r>
          </w:p>
        </w:tc>
        <w:tc>
          <w:tcPr>
            <w:tcW w:w="2188" w:type="dxa"/>
            <w:tcBorders>
              <w:tl2br w:val="nil"/>
              <w:tr2bl w:val="nil"/>
            </w:tcBorders>
            <w:tcMar>
              <w:top w:w="16" w:type="dxa"/>
              <w:left w:w="16" w:type="dxa"/>
              <w:right w:w="16" w:type="dxa"/>
            </w:tcMar>
            <w:vAlign w:val="center"/>
          </w:tcPr>
          <w:p w14:paraId="4AFA3E67">
            <w:pPr>
              <w:adjustRightInd w:val="0"/>
              <w:snapToGrid w:val="0"/>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环保投资（万元）</w:t>
            </w:r>
          </w:p>
        </w:tc>
        <w:tc>
          <w:tcPr>
            <w:tcW w:w="2952" w:type="dxa"/>
            <w:tcBorders>
              <w:tl2br w:val="nil"/>
              <w:tr2bl w:val="nil"/>
            </w:tcBorders>
            <w:vAlign w:val="center"/>
          </w:tcPr>
          <w:p w14:paraId="59E3D19C">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25</w:t>
            </w:r>
          </w:p>
        </w:tc>
      </w:tr>
      <w:tr w14:paraId="535DD6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44" w:type="dxa"/>
            <w:tcBorders>
              <w:tl2br w:val="nil"/>
              <w:tr2bl w:val="nil"/>
            </w:tcBorders>
            <w:tcMar>
              <w:top w:w="16" w:type="dxa"/>
              <w:left w:w="16" w:type="dxa"/>
              <w:right w:w="16" w:type="dxa"/>
            </w:tcMar>
            <w:vAlign w:val="center"/>
          </w:tcPr>
          <w:p w14:paraId="3078D5AB">
            <w:pPr>
              <w:adjustRightInd w:val="0"/>
              <w:snapToGrid w:val="0"/>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环保投资占比（%）</w:t>
            </w:r>
          </w:p>
        </w:tc>
        <w:tc>
          <w:tcPr>
            <w:tcW w:w="2290" w:type="dxa"/>
            <w:tcBorders>
              <w:tl2br w:val="nil"/>
              <w:tr2bl w:val="nil"/>
            </w:tcBorders>
            <w:vAlign w:val="center"/>
          </w:tcPr>
          <w:p w14:paraId="0D39F59B">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Cs/>
                <w:color w:val="auto"/>
                <w:spacing w:val="4"/>
                <w:sz w:val="24"/>
                <w:lang w:val="en-US" w:eastAsia="zh-CN"/>
              </w:rPr>
              <w:t>12.5</w:t>
            </w:r>
          </w:p>
        </w:tc>
        <w:tc>
          <w:tcPr>
            <w:tcW w:w="2188" w:type="dxa"/>
            <w:tcBorders>
              <w:tl2br w:val="nil"/>
              <w:tr2bl w:val="nil"/>
            </w:tcBorders>
            <w:tcMar>
              <w:top w:w="16" w:type="dxa"/>
              <w:left w:w="16" w:type="dxa"/>
              <w:right w:w="16" w:type="dxa"/>
            </w:tcMar>
            <w:vAlign w:val="center"/>
          </w:tcPr>
          <w:p w14:paraId="2D4703F9">
            <w:pPr>
              <w:adjustRightInd w:val="0"/>
              <w:snapToGrid w:val="0"/>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施工工期</w:t>
            </w:r>
          </w:p>
        </w:tc>
        <w:tc>
          <w:tcPr>
            <w:tcW w:w="2952" w:type="dxa"/>
            <w:tcBorders>
              <w:tl2br w:val="nil"/>
              <w:tr2bl w:val="nil"/>
            </w:tcBorders>
            <w:vAlign w:val="center"/>
          </w:tcPr>
          <w:p w14:paraId="515D2302">
            <w:pPr>
              <w:adjustRightInd w:val="0"/>
              <w:snapToGrid w:val="0"/>
              <w:jc w:val="center"/>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lang w:eastAsia="zh-CN"/>
              </w:rPr>
              <w:t>个月</w:t>
            </w:r>
          </w:p>
        </w:tc>
      </w:tr>
      <w:tr w14:paraId="0EC18F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44" w:type="dxa"/>
            <w:tcBorders>
              <w:tl2br w:val="nil"/>
              <w:tr2bl w:val="nil"/>
            </w:tcBorders>
            <w:tcMar>
              <w:top w:w="16" w:type="dxa"/>
              <w:left w:w="16" w:type="dxa"/>
              <w:right w:w="16" w:type="dxa"/>
            </w:tcMar>
            <w:vAlign w:val="center"/>
          </w:tcPr>
          <w:p w14:paraId="40FB6A22">
            <w:pPr>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是否开工建设</w:t>
            </w:r>
          </w:p>
        </w:tc>
        <w:tc>
          <w:tcPr>
            <w:tcW w:w="2290" w:type="dxa"/>
            <w:tcBorders>
              <w:tl2br w:val="nil"/>
              <w:tr2bl w:val="nil"/>
            </w:tcBorders>
            <w:vAlign w:val="center"/>
          </w:tcPr>
          <w:p w14:paraId="194DD67E">
            <w:pPr>
              <w:adjustRightInd w:val="0"/>
              <w:snapToGrid w:val="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lang w:eastAsia="zh-CN"/>
              </w:rPr>
              <w:sym w:font="Wingdings" w:char="00FE"/>
            </w:r>
            <w:r>
              <w:rPr>
                <w:rFonts w:ascii="Times New Roman" w:hAnsi="Times New Roman" w:eastAsia="宋体" w:cs="Times New Roman"/>
                <w:color w:val="auto"/>
                <w:sz w:val="24"/>
                <w:szCs w:val="24"/>
              </w:rPr>
              <w:t>否</w:t>
            </w:r>
          </w:p>
          <w:p w14:paraId="7F5F4641">
            <w:pPr>
              <w:adjustRightInd w:val="0"/>
              <w:snapToGrid w:val="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lang w:eastAsia="zh-CN"/>
              </w:rPr>
              <w:sym w:font="Wingdings" w:char="00A8"/>
            </w:r>
            <w:r>
              <w:rPr>
                <w:rFonts w:ascii="Times New Roman" w:hAnsi="Times New Roman" w:eastAsia="宋体" w:cs="Times New Roman"/>
                <w:color w:val="auto"/>
                <w:sz w:val="24"/>
                <w:szCs w:val="24"/>
              </w:rPr>
              <w:t>是：</w:t>
            </w:r>
          </w:p>
        </w:tc>
        <w:tc>
          <w:tcPr>
            <w:tcW w:w="2188" w:type="dxa"/>
            <w:tcBorders>
              <w:tl2br w:val="nil"/>
              <w:tr2bl w:val="nil"/>
            </w:tcBorders>
            <w:tcMar>
              <w:top w:w="16" w:type="dxa"/>
              <w:left w:w="16" w:type="dxa"/>
              <w:right w:w="16" w:type="dxa"/>
            </w:tcMar>
            <w:vAlign w:val="center"/>
          </w:tcPr>
          <w:p w14:paraId="1F3D0CAA">
            <w:pPr>
              <w:adjustRightInd w:val="0"/>
              <w:snapToGrid w:val="0"/>
              <w:jc w:val="center"/>
              <w:rPr>
                <w:rFonts w:ascii="Times New Roman" w:hAnsi="Times New Roman" w:eastAsia="宋体" w:cs="Times New Roman"/>
                <w:color w:val="auto"/>
                <w:spacing w:val="-6"/>
                <w:sz w:val="24"/>
                <w:szCs w:val="24"/>
                <w:lang w:eastAsia="zh-CN"/>
              </w:rPr>
            </w:pPr>
            <w:r>
              <w:rPr>
                <w:rFonts w:ascii="Times New Roman" w:hAnsi="Times New Roman" w:eastAsia="宋体" w:cs="Times New Roman"/>
                <w:color w:val="auto"/>
                <w:spacing w:val="-6"/>
                <w:sz w:val="24"/>
                <w:szCs w:val="24"/>
                <w:lang w:eastAsia="zh-CN"/>
              </w:rPr>
              <w:t>用地（用海）</w:t>
            </w:r>
          </w:p>
          <w:p w14:paraId="2CB0197A">
            <w:pPr>
              <w:adjustRightInd w:val="0"/>
              <w:snapToGrid w:val="0"/>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6"/>
                <w:sz w:val="24"/>
                <w:szCs w:val="24"/>
                <w:lang w:eastAsia="zh-CN"/>
              </w:rPr>
              <w:t>面积（m</w:t>
            </w:r>
            <w:r>
              <w:rPr>
                <w:rFonts w:ascii="Times New Roman" w:hAnsi="Times New Roman" w:eastAsia="宋体" w:cs="Times New Roman"/>
                <w:color w:val="auto"/>
                <w:spacing w:val="-6"/>
                <w:sz w:val="24"/>
                <w:szCs w:val="24"/>
                <w:vertAlign w:val="superscript"/>
                <w:lang w:eastAsia="zh-CN"/>
              </w:rPr>
              <w:t>2</w:t>
            </w:r>
            <w:r>
              <w:rPr>
                <w:rFonts w:ascii="Times New Roman" w:hAnsi="Times New Roman" w:eastAsia="宋体" w:cs="Times New Roman"/>
                <w:color w:val="auto"/>
                <w:spacing w:val="-6"/>
                <w:sz w:val="24"/>
                <w:szCs w:val="24"/>
                <w:lang w:eastAsia="zh-CN"/>
              </w:rPr>
              <w:t>）</w:t>
            </w:r>
          </w:p>
        </w:tc>
        <w:tc>
          <w:tcPr>
            <w:tcW w:w="2952" w:type="dxa"/>
            <w:tcBorders>
              <w:tl2br w:val="nil"/>
              <w:tr2bl w:val="nil"/>
            </w:tcBorders>
            <w:vAlign w:val="center"/>
          </w:tcPr>
          <w:p w14:paraId="7DD9AE4D">
            <w:pPr>
              <w:adjustRightInd w:val="0"/>
              <w:snapToGrid w:val="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33333.58</w:t>
            </w:r>
          </w:p>
        </w:tc>
      </w:tr>
      <w:tr w14:paraId="21E074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44" w:type="dxa"/>
            <w:tcBorders>
              <w:tl2br w:val="nil"/>
              <w:tr2bl w:val="nil"/>
            </w:tcBorders>
            <w:vAlign w:val="center"/>
          </w:tcPr>
          <w:p w14:paraId="5BA6572E">
            <w:pPr>
              <w:autoSpaceDE w:val="0"/>
              <w:autoSpaceDN w:val="0"/>
              <w:adjustRightInd w:val="0"/>
              <w:snapToGrid w:val="0"/>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专项评价设置情况</w:t>
            </w:r>
          </w:p>
        </w:tc>
        <w:tc>
          <w:tcPr>
            <w:tcW w:w="7430" w:type="dxa"/>
            <w:gridSpan w:val="3"/>
            <w:tcBorders>
              <w:tl2br w:val="nil"/>
              <w:tr2bl w:val="nil"/>
            </w:tcBorders>
            <w:vAlign w:val="center"/>
          </w:tcPr>
          <w:p w14:paraId="5C35404B">
            <w:pPr>
              <w:autoSpaceDE w:val="0"/>
              <w:autoSpaceDN w:val="0"/>
              <w:adjustRightInd w:val="0"/>
              <w:snapToGrid w:val="0"/>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无</w:t>
            </w:r>
          </w:p>
        </w:tc>
      </w:tr>
      <w:tr w14:paraId="5C3226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944" w:type="dxa"/>
            <w:tcBorders>
              <w:tl2br w:val="nil"/>
              <w:tr2bl w:val="nil"/>
            </w:tcBorders>
            <w:vAlign w:val="center"/>
          </w:tcPr>
          <w:p w14:paraId="75E41DCF">
            <w:pPr>
              <w:autoSpaceDE w:val="0"/>
              <w:autoSpaceDN w:val="0"/>
              <w:adjustRightInd w:val="0"/>
              <w:snapToGrid w:val="0"/>
              <w:jc w:val="center"/>
              <w:rPr>
                <w:rFonts w:ascii="宋体" w:hAnsi="宋体" w:cs="宋体"/>
                <w:color w:val="auto"/>
                <w:sz w:val="24"/>
                <w:szCs w:val="24"/>
              </w:rPr>
            </w:pPr>
            <w:r>
              <w:rPr>
                <w:rFonts w:hint="eastAsia" w:ascii="宋体" w:hAnsi="宋体" w:cs="宋体"/>
                <w:color w:val="auto"/>
                <w:sz w:val="24"/>
                <w:szCs w:val="24"/>
              </w:rPr>
              <w:t>规划情况</w:t>
            </w:r>
          </w:p>
        </w:tc>
        <w:tc>
          <w:tcPr>
            <w:tcW w:w="7430" w:type="dxa"/>
            <w:gridSpan w:val="3"/>
            <w:tcBorders>
              <w:tl2br w:val="nil"/>
              <w:tr2bl w:val="nil"/>
            </w:tcBorders>
            <w:vAlign w:val="center"/>
          </w:tcPr>
          <w:p w14:paraId="500FA680">
            <w:pPr>
              <w:spacing w:line="360" w:lineRule="auto"/>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无</w:t>
            </w:r>
          </w:p>
        </w:tc>
      </w:tr>
      <w:tr w14:paraId="35479F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1944" w:type="dxa"/>
            <w:tcBorders>
              <w:tl2br w:val="nil"/>
              <w:tr2bl w:val="nil"/>
            </w:tcBorders>
            <w:vAlign w:val="center"/>
          </w:tcPr>
          <w:p w14:paraId="0915232A">
            <w:pPr>
              <w:adjustRightInd w:val="0"/>
              <w:snapToGrid w:val="0"/>
              <w:jc w:val="center"/>
              <w:rPr>
                <w:rFonts w:ascii="宋体" w:hAnsi="宋体" w:cs="宋体"/>
                <w:color w:val="auto"/>
                <w:sz w:val="24"/>
                <w:szCs w:val="24"/>
                <w:lang w:eastAsia="zh-CN"/>
              </w:rPr>
            </w:pPr>
            <w:r>
              <w:rPr>
                <w:rFonts w:hint="eastAsia" w:ascii="宋体" w:hAnsi="宋体" w:cs="宋体"/>
                <w:color w:val="auto"/>
                <w:sz w:val="24"/>
                <w:szCs w:val="24"/>
                <w:lang w:eastAsia="zh-CN"/>
              </w:rPr>
              <w:t>规划环境影响</w:t>
            </w:r>
          </w:p>
          <w:p w14:paraId="0E4E0803">
            <w:pPr>
              <w:adjustRightInd w:val="0"/>
              <w:snapToGrid w:val="0"/>
              <w:jc w:val="center"/>
              <w:rPr>
                <w:rFonts w:ascii="宋体" w:hAnsi="宋体" w:cs="宋体"/>
                <w:color w:val="auto"/>
                <w:sz w:val="24"/>
                <w:szCs w:val="24"/>
                <w:lang w:eastAsia="zh-CN"/>
              </w:rPr>
            </w:pPr>
            <w:r>
              <w:rPr>
                <w:rFonts w:hint="eastAsia" w:ascii="宋体" w:hAnsi="宋体" w:cs="宋体"/>
                <w:color w:val="auto"/>
                <w:sz w:val="24"/>
                <w:szCs w:val="24"/>
                <w:lang w:eastAsia="zh-CN"/>
              </w:rPr>
              <w:t>评价情况</w:t>
            </w:r>
          </w:p>
        </w:tc>
        <w:tc>
          <w:tcPr>
            <w:tcW w:w="7430" w:type="dxa"/>
            <w:gridSpan w:val="3"/>
            <w:tcBorders>
              <w:tl2br w:val="nil"/>
              <w:tr2bl w:val="nil"/>
            </w:tcBorders>
            <w:vAlign w:val="center"/>
          </w:tcPr>
          <w:p w14:paraId="53B3D82D">
            <w:pPr>
              <w:spacing w:line="360" w:lineRule="auto"/>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无</w:t>
            </w:r>
          </w:p>
        </w:tc>
      </w:tr>
      <w:tr w14:paraId="0880DF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1944" w:type="dxa"/>
            <w:tcBorders>
              <w:tl2br w:val="nil"/>
              <w:tr2bl w:val="nil"/>
            </w:tcBorders>
            <w:vAlign w:val="center"/>
          </w:tcPr>
          <w:p w14:paraId="055E0544">
            <w:pPr>
              <w:autoSpaceDE w:val="0"/>
              <w:autoSpaceDN w:val="0"/>
              <w:adjustRightInd w:val="0"/>
              <w:snapToGrid w:val="0"/>
              <w:jc w:val="center"/>
              <w:rPr>
                <w:rFonts w:ascii="宋体" w:hAnsi="宋体" w:cs="宋体"/>
                <w:color w:val="auto"/>
                <w:sz w:val="24"/>
                <w:szCs w:val="24"/>
                <w:lang w:eastAsia="zh-CN"/>
              </w:rPr>
            </w:pPr>
            <w:r>
              <w:rPr>
                <w:rFonts w:hint="eastAsia" w:ascii="宋体" w:hAnsi="宋体" w:cs="宋体"/>
                <w:color w:val="auto"/>
                <w:sz w:val="24"/>
                <w:szCs w:val="24"/>
                <w:lang w:eastAsia="zh-CN"/>
              </w:rPr>
              <w:t>规划及规划环境</w:t>
            </w:r>
          </w:p>
          <w:p w14:paraId="197EA8E2">
            <w:pPr>
              <w:autoSpaceDE w:val="0"/>
              <w:autoSpaceDN w:val="0"/>
              <w:adjustRightInd w:val="0"/>
              <w:snapToGrid w:val="0"/>
              <w:jc w:val="center"/>
              <w:rPr>
                <w:rFonts w:ascii="宋体" w:hAnsi="宋体" w:cs="宋体"/>
                <w:color w:val="auto"/>
                <w:sz w:val="24"/>
                <w:szCs w:val="24"/>
                <w:lang w:eastAsia="zh-CN"/>
              </w:rPr>
            </w:pPr>
            <w:r>
              <w:rPr>
                <w:rFonts w:hint="eastAsia" w:ascii="宋体" w:hAnsi="宋体" w:cs="宋体"/>
                <w:color w:val="auto"/>
                <w:sz w:val="24"/>
                <w:szCs w:val="24"/>
                <w:lang w:eastAsia="zh-CN"/>
              </w:rPr>
              <w:t>影响评价符合性分析</w:t>
            </w:r>
          </w:p>
        </w:tc>
        <w:tc>
          <w:tcPr>
            <w:tcW w:w="7430" w:type="dxa"/>
            <w:gridSpan w:val="3"/>
            <w:tcBorders>
              <w:tl2br w:val="nil"/>
              <w:tr2bl w:val="nil"/>
            </w:tcBorders>
            <w:vAlign w:val="center"/>
          </w:tcPr>
          <w:p w14:paraId="652FD2D2">
            <w:pPr>
              <w:spacing w:line="360" w:lineRule="auto"/>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无</w:t>
            </w:r>
          </w:p>
        </w:tc>
      </w:tr>
      <w:tr w14:paraId="587F74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44" w:type="dxa"/>
            <w:tcBorders>
              <w:tl2br w:val="nil"/>
              <w:tr2bl w:val="nil"/>
            </w:tcBorders>
            <w:vAlign w:val="center"/>
          </w:tcPr>
          <w:p w14:paraId="50EFE020">
            <w:pPr>
              <w:autoSpaceDE w:val="0"/>
              <w:autoSpaceDN w:val="0"/>
              <w:adjustRightInd w:val="0"/>
              <w:snapToGrid w:val="0"/>
              <w:jc w:val="center"/>
              <w:rPr>
                <w:rFonts w:ascii="宋体" w:hAnsi="宋体" w:cs="宋体"/>
                <w:color w:val="auto"/>
                <w:sz w:val="24"/>
                <w:szCs w:val="24"/>
              </w:rPr>
            </w:pPr>
            <w:r>
              <w:rPr>
                <w:rFonts w:hint="eastAsia" w:ascii="宋体" w:hAnsi="宋体" w:cs="宋体"/>
                <w:color w:val="auto"/>
                <w:sz w:val="24"/>
                <w:szCs w:val="24"/>
              </w:rPr>
              <w:t>其他符合性分析</w:t>
            </w:r>
          </w:p>
        </w:tc>
        <w:tc>
          <w:tcPr>
            <w:tcW w:w="7430" w:type="dxa"/>
            <w:gridSpan w:val="3"/>
            <w:tcBorders>
              <w:tl2br w:val="nil"/>
              <w:tr2bl w:val="nil"/>
            </w:tcBorders>
            <w:vAlign w:val="center"/>
          </w:tcPr>
          <w:p w14:paraId="3C927BE0">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eastAsia="zh-CN"/>
              </w:rPr>
              <w:t>1</w:t>
            </w:r>
            <w:r>
              <w:rPr>
                <w:rFonts w:ascii="Times New Roman" w:hAnsi="Times New Roman" w:eastAsia="宋体" w:cs="Times New Roman"/>
                <w:b/>
                <w:bCs/>
                <w:color w:val="auto"/>
                <w:sz w:val="24"/>
                <w:szCs w:val="24"/>
                <w:lang w:eastAsia="zh-CN"/>
              </w:rPr>
              <w:t>产业政策符合性</w:t>
            </w:r>
          </w:p>
          <w:p w14:paraId="1060AE6C">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本项目为</w:t>
            </w:r>
            <w:r>
              <w:rPr>
                <w:rFonts w:hint="eastAsia" w:ascii="Times New Roman" w:hAnsi="Times New Roman" w:eastAsia="宋体" w:cs="Times New Roman"/>
                <w:color w:val="auto"/>
                <w:sz w:val="24"/>
                <w:szCs w:val="24"/>
                <w:lang w:eastAsia="zh-CN"/>
              </w:rPr>
              <w:t>石灰深加工项目</w:t>
            </w:r>
            <w:r>
              <w:rPr>
                <w:rFonts w:ascii="Times New Roman" w:hAnsi="Times New Roman" w:eastAsia="宋体" w:cs="Times New Roman"/>
                <w:color w:val="auto"/>
                <w:sz w:val="24"/>
                <w:szCs w:val="24"/>
                <w:lang w:eastAsia="zh-CN"/>
              </w:rPr>
              <w:t>，位于</w:t>
            </w:r>
            <w:r>
              <w:rPr>
                <w:rFonts w:hint="eastAsia" w:ascii="Times New Roman" w:hAnsi="Times New Roman" w:eastAsia="宋体" w:cs="Times New Roman"/>
                <w:color w:val="auto"/>
                <w:sz w:val="24"/>
                <w:szCs w:val="24"/>
                <w:lang w:eastAsia="zh-CN"/>
              </w:rPr>
              <w:t>山西省长治市潞城区史回镇闫李庄村东侧132m</w:t>
            </w:r>
            <w:r>
              <w:rPr>
                <w:rFonts w:ascii="Times New Roman" w:hAnsi="Times New Roman" w:eastAsia="宋体" w:cs="Times New Roman"/>
                <w:color w:val="auto"/>
                <w:sz w:val="24"/>
                <w:szCs w:val="24"/>
                <w:lang w:eastAsia="zh-CN"/>
              </w:rPr>
              <w:t>，评价区域内无国务院、国家有关部门和省（自治区、直辖市）人民政府规定的生态保护区、自然保护区、风景旅游区、文化遗产保护区。</w:t>
            </w:r>
          </w:p>
          <w:p w14:paraId="0E73281A">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根据</w:t>
            </w:r>
            <w:r>
              <w:rPr>
                <w:rFonts w:hint="eastAsia" w:ascii="Times New Roman" w:hAnsi="Times New Roman" w:eastAsia="宋体" w:cs="Times New Roman"/>
                <w:color w:val="auto"/>
                <w:sz w:val="24"/>
                <w:szCs w:val="24"/>
                <w:lang w:eastAsia="zh-CN"/>
              </w:rPr>
              <w:t>中华人民共和国国家发展和改革委员会令第7号《产业结构调整指导目录（2024年本）》</w:t>
            </w:r>
            <w:r>
              <w:rPr>
                <w:rFonts w:ascii="Times New Roman" w:hAnsi="Times New Roman" w:eastAsia="宋体" w:cs="Times New Roman"/>
                <w:color w:val="auto"/>
                <w:sz w:val="24"/>
                <w:szCs w:val="24"/>
                <w:lang w:eastAsia="zh-CN"/>
              </w:rPr>
              <w:t>，本项目不属于鼓励类、限制类和淘汰类，与产业政策不冲突。同时，根据国务院关于发布实施《促进产业结构调整暂行规定》（国发[2005]40号）第十三规定：不属于鼓励类、限制类和淘汰类，且符合国家有关法律、法规和政策规定的为允许类，因此本项目属于允许类</w:t>
            </w:r>
            <w:r>
              <w:rPr>
                <w:rFonts w:hint="eastAsia" w:ascii="Times New Roman" w:hAnsi="Times New Roman" w:eastAsia="宋体" w:cs="Times New Roman"/>
                <w:color w:val="auto"/>
                <w:sz w:val="24"/>
                <w:szCs w:val="24"/>
                <w:lang w:eastAsia="zh-CN"/>
              </w:rPr>
              <w:t>。且本项目于2024年</w:t>
            </w:r>
            <w:r>
              <w:rPr>
                <w:rFonts w:hint="eastAsia" w:ascii="Times New Roman" w:hAnsi="Times New Roman" w:eastAsia="宋体" w:cs="Times New Roman"/>
                <w:color w:val="auto"/>
                <w:sz w:val="24"/>
                <w:szCs w:val="24"/>
                <w:lang w:val="en-US" w:eastAsia="zh-CN"/>
              </w:rPr>
              <w:t>11</w:t>
            </w:r>
            <w:r>
              <w:rPr>
                <w:rFonts w:hint="eastAsia" w:ascii="Times New Roman" w:hAnsi="Times New Roman" w:eastAsia="宋体" w:cs="Times New Roman"/>
                <w:color w:val="auto"/>
                <w:sz w:val="24"/>
                <w:szCs w:val="24"/>
                <w:lang w:eastAsia="zh-CN"/>
              </w:rPr>
              <w:t>月</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eastAsia="zh-CN"/>
              </w:rPr>
              <w:t>日取得长治市潞城区行政审批服务管理局下发的《山西省企业投资项目备案证》（见附件2），同意本项目的建设。</w:t>
            </w:r>
          </w:p>
          <w:p w14:paraId="54808F23">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因此，本项目建设</w:t>
            </w:r>
            <w:r>
              <w:rPr>
                <w:rFonts w:hint="eastAsia" w:ascii="Times New Roman" w:hAnsi="Times New Roman" w:eastAsia="宋体" w:cs="Times New Roman"/>
                <w:color w:val="auto"/>
                <w:sz w:val="24"/>
                <w:szCs w:val="24"/>
                <w:lang w:val="en-US" w:eastAsia="zh-CN"/>
              </w:rPr>
              <w:t>不违背</w:t>
            </w:r>
            <w:r>
              <w:rPr>
                <w:rFonts w:ascii="Times New Roman" w:hAnsi="Times New Roman" w:eastAsia="宋体" w:cs="Times New Roman"/>
                <w:color w:val="auto"/>
                <w:sz w:val="24"/>
                <w:szCs w:val="24"/>
                <w:lang w:eastAsia="zh-CN"/>
              </w:rPr>
              <w:t>产业政策</w:t>
            </w:r>
            <w:r>
              <w:rPr>
                <w:rFonts w:hint="eastAsia" w:ascii="Times New Roman" w:hAnsi="Times New Roman" w:eastAsia="宋体" w:cs="Times New Roman"/>
                <w:color w:val="auto"/>
                <w:sz w:val="24"/>
                <w:szCs w:val="24"/>
                <w:lang w:eastAsia="zh-CN"/>
              </w:rPr>
              <w:t>及地方政策要求</w:t>
            </w:r>
            <w:r>
              <w:rPr>
                <w:rFonts w:ascii="Times New Roman" w:hAnsi="Times New Roman" w:eastAsia="宋体" w:cs="Times New Roman"/>
                <w:color w:val="auto"/>
                <w:sz w:val="24"/>
                <w:szCs w:val="24"/>
                <w:lang w:eastAsia="zh-CN"/>
              </w:rPr>
              <w:t>。</w:t>
            </w:r>
          </w:p>
          <w:p w14:paraId="0925D6C0">
            <w:pPr>
              <w:tabs>
                <w:tab w:val="left" w:pos="2660"/>
              </w:tabs>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1.2与</w:t>
            </w:r>
            <w:r>
              <w:rPr>
                <w:rFonts w:hint="eastAsia" w:ascii="Times New Roman" w:hAnsi="Times New Roman" w:eastAsia="宋体" w:cs="Times New Roman"/>
                <w:b/>
                <w:bCs/>
                <w:color w:val="auto"/>
                <w:sz w:val="24"/>
                <w:szCs w:val="24"/>
                <w:lang w:val="en-US" w:eastAsia="zh-CN"/>
              </w:rPr>
              <w:fldChar w:fldCharType="begin"/>
            </w:r>
            <w:r>
              <w:rPr>
                <w:rFonts w:hint="eastAsia" w:ascii="Times New Roman" w:hAnsi="Times New Roman" w:eastAsia="宋体" w:cs="Times New Roman"/>
                <w:b/>
                <w:bCs/>
                <w:color w:val="auto"/>
                <w:sz w:val="24"/>
                <w:szCs w:val="24"/>
                <w:lang w:val="en-US" w:eastAsia="zh-CN"/>
              </w:rPr>
              <w:instrText xml:space="preserve"> HYPERLINK "https://www.baidu.com/link?url=xszFPHhdR6-h4ZajNY7S7ZcVq2_-Pu7YkmwO6T35kFnX8EffL13zsA0jNJG-TBo42Oym5dKlQvJNXRkODmYx3K&amp;wd=&amp;eqid=d90da87e0081dc660000000465936cee" \t "https://www.baidu.com/_blank" </w:instrText>
            </w:r>
            <w:r>
              <w:rPr>
                <w:rFonts w:hint="eastAsia" w:ascii="Times New Roman" w:hAnsi="Times New Roman" w:eastAsia="宋体" w:cs="Times New Roman"/>
                <w:b/>
                <w:bCs/>
                <w:color w:val="auto"/>
                <w:sz w:val="24"/>
                <w:szCs w:val="24"/>
                <w:lang w:val="en-US" w:eastAsia="zh-CN"/>
              </w:rPr>
              <w:fldChar w:fldCharType="separate"/>
            </w:r>
            <w:r>
              <w:rPr>
                <w:rFonts w:hint="eastAsia" w:ascii="Times New Roman" w:hAnsi="Times New Roman" w:eastAsia="宋体" w:cs="Times New Roman"/>
                <w:b/>
                <w:bCs/>
                <w:color w:val="auto"/>
                <w:sz w:val="24"/>
                <w:szCs w:val="24"/>
                <w:lang w:val="en-US" w:eastAsia="zh-CN"/>
              </w:rPr>
              <w:t>《潞城区国土空间总体规划(2021-2035年)》</w:t>
            </w:r>
            <w:r>
              <w:rPr>
                <w:rFonts w:hint="eastAsia" w:ascii="Times New Roman" w:hAnsi="Times New Roman" w:eastAsia="宋体" w:cs="Times New Roman"/>
                <w:b/>
                <w:bCs/>
                <w:color w:val="auto"/>
                <w:sz w:val="24"/>
                <w:szCs w:val="24"/>
                <w:lang w:val="en-US" w:eastAsia="zh-CN"/>
              </w:rPr>
              <w:fldChar w:fldCharType="end"/>
            </w:r>
            <w:r>
              <w:rPr>
                <w:rFonts w:hint="eastAsia" w:ascii="Times New Roman" w:hAnsi="Times New Roman" w:eastAsia="宋体" w:cs="Times New Roman"/>
                <w:b/>
                <w:bCs/>
                <w:color w:val="auto"/>
                <w:sz w:val="24"/>
                <w:szCs w:val="24"/>
                <w:lang w:val="en-US" w:eastAsia="zh-CN"/>
              </w:rPr>
              <w:t>符合性分析</w:t>
            </w:r>
          </w:p>
          <w:p w14:paraId="22BEB509">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2024年3月22日，山西省人民政府以“晋政函〔2024〕35号”下发了《关于长治市潞州区等12县（市、区）国土空间总体规划（2021—2035年）》的批复，原则同意《潞城区国土空间总体规划（2021—2035年）》。</w:t>
            </w:r>
          </w:p>
          <w:p w14:paraId="5B528B27">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对照</w:t>
            </w: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HYPERLINK "https://www.baidu.com/link?url=xszFPHhdR6-h4ZajNY7S7ZcVq2_-Pu7YkmwO6T35kFnX8EffL13zsA0jNJG-TBo42Oym5dKlQvJNXRkODmYx3K&amp;wd=&amp;eqid=d90da87e0081dc660000000465936cee" \t "https://www.baidu.com/_blank"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潞城区</w:t>
            </w:r>
            <w:r>
              <w:rPr>
                <w:rFonts w:hint="default" w:ascii="Times New Roman" w:hAnsi="Times New Roman" w:eastAsia="宋体" w:cs="Times New Roman"/>
                <w:color w:val="auto"/>
                <w:sz w:val="24"/>
                <w:szCs w:val="24"/>
                <w:lang w:val="en-US" w:eastAsia="zh-CN"/>
              </w:rPr>
              <w:t>国土空间总体规划(2021-2035年)》</w:t>
            </w:r>
            <w:r>
              <w:rPr>
                <w:rFonts w:hint="default"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，全区划定耕地保护目标238.47平方公里(35.77万亩)、永久基本农田187.73平方公里(28.16万亩)分别占全区总面积的39.20%，30.55%。经对照本项目不位于基本农田保护红线范围内（位置关系见附图7）</w:t>
            </w:r>
            <w:r>
              <w:rPr>
                <w:rFonts w:hint="default" w:ascii="Times New Roman" w:hAnsi="Times New Roman" w:eastAsia="宋体" w:cs="Times New Roman"/>
                <w:color w:val="auto"/>
                <w:sz w:val="24"/>
                <w:szCs w:val="24"/>
                <w:lang w:val="en-US" w:eastAsia="zh-CN"/>
              </w:rPr>
              <w:t>。</w:t>
            </w:r>
          </w:p>
          <w:p w14:paraId="0ABDD3A3">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对照</w:t>
            </w: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HYPERLINK "https://www.baidu.com/link?url=xszFPHhdR6-h4ZajNY7S7ZcVq2_-Pu7YkmwO6T35kFnX8EffL13zsA0jNJG-TBo42Oym5dKlQvJNXRkODmYx3K&amp;wd=&amp;eqid=d90da87e0081dc660000000465936cee" \t "https://www.baidu.com/_blank"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潞城区</w:t>
            </w:r>
            <w:r>
              <w:rPr>
                <w:rFonts w:hint="default" w:ascii="Times New Roman" w:hAnsi="Times New Roman" w:eastAsia="宋体" w:cs="Times New Roman"/>
                <w:color w:val="auto"/>
                <w:sz w:val="24"/>
                <w:szCs w:val="24"/>
                <w:lang w:val="en-US" w:eastAsia="zh-CN"/>
              </w:rPr>
              <w:t>国土空间总体规划(2021-2035年)》</w:t>
            </w:r>
            <w:r>
              <w:rPr>
                <w:rFonts w:hint="default"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，全区划定生态保护红线102.31平方公里(15.35万亩)，占全区总面积的16.65%。经对照本项目不位于生态保护红线范围内（位置关系见附图7）</w:t>
            </w:r>
            <w:r>
              <w:rPr>
                <w:rFonts w:hint="default" w:ascii="Times New Roman" w:hAnsi="Times New Roman" w:eastAsia="宋体" w:cs="Times New Roman"/>
                <w:color w:val="auto"/>
                <w:sz w:val="24"/>
                <w:szCs w:val="24"/>
                <w:lang w:val="en-US" w:eastAsia="zh-CN"/>
              </w:rPr>
              <w:t>。</w:t>
            </w:r>
          </w:p>
          <w:p w14:paraId="1FFF9925">
            <w:pPr>
              <w:tabs>
                <w:tab w:val="left" w:pos="2660"/>
              </w:tabs>
              <w:spacing w:line="360" w:lineRule="auto"/>
              <w:ind w:firstLine="480" w:firstLineChars="200"/>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lang w:val="en-US" w:eastAsia="zh-CN"/>
              </w:rPr>
              <w:t>对照</w:t>
            </w: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HYPERLINK "https://www.baidu.com/link?url=xszFPHhdR6-h4ZajNY7S7ZcVq2_-Pu7YkmwO6T35kFnX8EffL13zsA0jNJG-TBo42Oym5dKlQvJNXRkODmYx3K&amp;wd=&amp;eqid=d90da87e0081dc660000000465936cee" \t "https://www.baidu.com/_blank"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潞城区</w:t>
            </w:r>
            <w:r>
              <w:rPr>
                <w:rFonts w:hint="default" w:ascii="Times New Roman" w:hAnsi="Times New Roman" w:eastAsia="宋体" w:cs="Times New Roman"/>
                <w:color w:val="auto"/>
                <w:sz w:val="24"/>
                <w:szCs w:val="24"/>
                <w:lang w:val="en-US" w:eastAsia="zh-CN"/>
              </w:rPr>
              <w:t>国土空间总体规划(2021-2035年)》</w:t>
            </w:r>
            <w:r>
              <w:rPr>
                <w:rFonts w:hint="default"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，全区划定城镇开发边界45.15平方公里(6.77万亩)，占全区总面积的7.35%。经对照本项目位于城镇开发边界范围内（位置关系见附图7），</w:t>
            </w:r>
            <w:r>
              <w:rPr>
                <w:rFonts w:hint="eastAsia" w:ascii="Times New Roman" w:hAnsi="Times New Roman" w:eastAsia="宋体" w:cs="Times New Roman"/>
                <w:color w:val="auto"/>
                <w:sz w:val="24"/>
                <w:szCs w:val="24"/>
                <w:lang w:eastAsia="zh-CN"/>
              </w:rPr>
              <w:t>根据山东新晨测绘科技有限公司</w:t>
            </w:r>
            <w:r>
              <w:rPr>
                <w:rFonts w:hint="eastAsia" w:ascii="Times New Roman" w:hAnsi="Times New Roman" w:eastAsia="宋体" w:cs="Times New Roman"/>
                <w:color w:val="auto"/>
                <w:sz w:val="24"/>
                <w:szCs w:val="24"/>
                <w:lang w:val="en-US" w:eastAsia="zh-CN"/>
              </w:rPr>
              <w:t>出具的土地勘测定界技术报告书，用地性质为</w:t>
            </w:r>
            <w:r>
              <w:rPr>
                <w:rFonts w:hint="eastAsia" w:ascii="Times New Roman" w:hAnsi="Times New Roman" w:eastAsia="宋体" w:cs="Times New Roman"/>
                <w:color w:val="auto"/>
                <w:sz w:val="24"/>
                <w:szCs w:val="24"/>
                <w:highlight w:val="none"/>
                <w:lang w:val="en-US" w:eastAsia="zh-CN"/>
              </w:rPr>
              <w:t>工矿用地</w:t>
            </w:r>
            <w:r>
              <w:rPr>
                <w:rFonts w:hint="eastAsia" w:ascii="Times New Roman" w:hAnsi="Times New Roman" w:eastAsia="宋体" w:cs="Times New Roman"/>
                <w:color w:val="auto"/>
                <w:sz w:val="24"/>
                <w:szCs w:val="24"/>
                <w:lang w:val="en-US" w:eastAsia="zh-CN"/>
              </w:rPr>
              <w:t>，对照《土地利用现状分类》（GBT21010-2017），用地代码为0601，指主要用于工业生产、物资存放场所的土地，符合本项目用地需求</w:t>
            </w:r>
            <w:r>
              <w:rPr>
                <w:rFonts w:hint="eastAsia" w:ascii="Times New Roman" w:hAnsi="Times New Roman" w:eastAsia="宋体" w:cs="Times New Roman"/>
                <w:color w:val="auto"/>
                <w:sz w:val="24"/>
                <w:szCs w:val="24"/>
                <w:lang w:eastAsia="zh-CN"/>
              </w:rPr>
              <w:t>。</w:t>
            </w:r>
          </w:p>
          <w:p w14:paraId="37CCF3AA">
            <w:pPr>
              <w:spacing w:line="360" w:lineRule="auto"/>
              <w:ind w:firstLine="480"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color w:val="auto"/>
                <w:sz w:val="24"/>
                <w:szCs w:val="24"/>
                <w:lang w:val="en-US" w:eastAsia="zh-CN"/>
              </w:rPr>
              <w:t>综上，本项目位于城镇开发边界范围内，用地性质为</w:t>
            </w:r>
            <w:r>
              <w:rPr>
                <w:rFonts w:hint="eastAsia" w:ascii="Times New Roman" w:hAnsi="Times New Roman" w:eastAsia="宋体" w:cs="Times New Roman"/>
                <w:color w:val="auto"/>
                <w:sz w:val="24"/>
                <w:szCs w:val="24"/>
                <w:highlight w:val="none"/>
                <w:lang w:val="en-US" w:eastAsia="zh-CN"/>
              </w:rPr>
              <w:t>工矿用地</w:t>
            </w:r>
            <w:r>
              <w:rPr>
                <w:rFonts w:hint="eastAsia" w:ascii="Times New Roman" w:hAnsi="Times New Roman" w:eastAsia="宋体" w:cs="Times New Roman"/>
                <w:color w:val="auto"/>
                <w:sz w:val="24"/>
                <w:szCs w:val="24"/>
                <w:lang w:val="en-US" w:eastAsia="zh-CN"/>
              </w:rPr>
              <w:t>，符合本项目用地需求，因此不违背</w:t>
            </w: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HYPERLINK "https://www.baidu.com/link?url=xszFPHhdR6-h4ZajNY7S7ZcVq2_-Pu7YkmwO6T35kFnX8EffL13zsA0jNJG-TBo42Oym5dKlQvJNXRkODmYx3K&amp;wd=&amp;eqid=d90da87e0081dc660000000465936cee" \t "https://www.baidu.com/_blank"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潞城区</w:t>
            </w:r>
            <w:r>
              <w:rPr>
                <w:rFonts w:hint="default" w:ascii="Times New Roman" w:hAnsi="Times New Roman" w:eastAsia="宋体" w:cs="Times New Roman"/>
                <w:color w:val="auto"/>
                <w:sz w:val="24"/>
                <w:szCs w:val="24"/>
                <w:lang w:val="en-US" w:eastAsia="zh-CN"/>
              </w:rPr>
              <w:t>国土空间总体规划(2021-2035年)》</w:t>
            </w:r>
            <w:r>
              <w:rPr>
                <w:rFonts w:hint="default"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要求。</w:t>
            </w:r>
          </w:p>
          <w:p w14:paraId="683999A0">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1.3</w:t>
            </w:r>
            <w:r>
              <w:rPr>
                <w:rFonts w:hint="eastAsia" w:ascii="Times New Roman" w:hAnsi="Times New Roman" w:eastAsia="宋体" w:cs="Times New Roman"/>
                <w:b/>
                <w:bCs/>
                <w:color w:val="auto"/>
                <w:sz w:val="24"/>
                <w:szCs w:val="24"/>
                <w:lang w:eastAsia="zh-CN"/>
              </w:rPr>
              <w:t>“</w:t>
            </w:r>
            <w:r>
              <w:rPr>
                <w:rFonts w:ascii="Times New Roman" w:hAnsi="Times New Roman" w:eastAsia="宋体" w:cs="Times New Roman"/>
                <w:b/>
                <w:bCs/>
                <w:color w:val="auto"/>
                <w:sz w:val="24"/>
                <w:szCs w:val="24"/>
                <w:lang w:eastAsia="zh-CN"/>
              </w:rPr>
              <w:t>三线一单</w:t>
            </w:r>
            <w:r>
              <w:rPr>
                <w:rFonts w:hint="eastAsia" w:ascii="Times New Roman" w:hAnsi="Times New Roman" w:eastAsia="宋体" w:cs="Times New Roman"/>
                <w:b/>
                <w:bCs/>
                <w:color w:val="auto"/>
                <w:sz w:val="24"/>
                <w:szCs w:val="24"/>
                <w:lang w:eastAsia="zh-CN"/>
              </w:rPr>
              <w:t>”</w:t>
            </w:r>
            <w:r>
              <w:rPr>
                <w:rFonts w:ascii="Times New Roman" w:hAnsi="Times New Roman" w:eastAsia="宋体" w:cs="Times New Roman"/>
                <w:b/>
                <w:bCs/>
                <w:color w:val="auto"/>
                <w:sz w:val="24"/>
                <w:szCs w:val="24"/>
                <w:lang w:eastAsia="zh-CN"/>
              </w:rPr>
              <w:t>符合性分析</w:t>
            </w:r>
          </w:p>
          <w:p w14:paraId="1F6C5254">
            <w:pPr>
              <w:spacing w:line="360" w:lineRule="auto"/>
              <w:ind w:firstLine="480"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color w:val="auto"/>
                <w:sz w:val="24"/>
                <w:szCs w:val="24"/>
                <w:lang w:eastAsia="zh-CN"/>
              </w:rPr>
              <w:t>（1）</w:t>
            </w:r>
            <w:r>
              <w:rPr>
                <w:rFonts w:ascii="Times New Roman" w:hAnsi="Times New Roman" w:eastAsia="宋体" w:cs="Times New Roman"/>
                <w:color w:val="auto"/>
                <w:sz w:val="24"/>
                <w:szCs w:val="24"/>
                <w:lang w:eastAsia="zh-CN"/>
              </w:rPr>
              <w:t>生态保护红线</w:t>
            </w:r>
          </w:p>
          <w:p w14:paraId="3122826B">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本项目建设地点位于</w:t>
            </w:r>
            <w:r>
              <w:rPr>
                <w:rFonts w:hint="eastAsia" w:ascii="Times New Roman" w:hAnsi="Times New Roman" w:eastAsia="宋体" w:cs="Times New Roman"/>
                <w:color w:val="auto"/>
                <w:sz w:val="24"/>
                <w:szCs w:val="24"/>
                <w:lang w:eastAsia="zh-CN"/>
              </w:rPr>
              <w:t>山西省长治市潞城区史回镇闫李庄村东侧132m，</w:t>
            </w:r>
            <w:r>
              <w:rPr>
                <w:rFonts w:hint="eastAsia"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"https://www.baidu.com/link?url=xszFPHhdR6-h4ZajNY7S7ZcVq2_-Pu7YkmwO6T35kFnX8EffL13zsA0jNJG-TBo42Oym5dKlQvJNXRkODmYx3K&amp;wd=&amp;eqid=d90da87e0081dc660000000465936cee" \t "https://www.baidu.com/_blank"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《潞城区国土空间总体规划(2021-2035年)》</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划定的生态保护红线，本项目不位于潞城区生态保护红线范围内，位置关系见附图7。</w:t>
            </w:r>
            <w:r>
              <w:rPr>
                <w:rFonts w:ascii="Times New Roman" w:hAnsi="Times New Roman" w:eastAsia="宋体" w:cs="Times New Roman"/>
                <w:color w:val="auto"/>
                <w:sz w:val="24"/>
                <w:szCs w:val="24"/>
                <w:lang w:eastAsia="zh-CN"/>
              </w:rPr>
              <w:t>项目所在地范围内无国家、省市重点保护文物、自然风景区等特殊环境敏感区；</w:t>
            </w:r>
            <w:r>
              <w:rPr>
                <w:rFonts w:hint="eastAsia" w:ascii="Times New Roman" w:hAnsi="Times New Roman" w:eastAsia="宋体" w:cs="Times New Roman"/>
                <w:color w:val="auto"/>
                <w:sz w:val="24"/>
                <w:szCs w:val="24"/>
                <w:lang w:eastAsia="zh-CN"/>
              </w:rPr>
              <w:t>且</w:t>
            </w:r>
            <w:r>
              <w:rPr>
                <w:rFonts w:ascii="Times New Roman" w:hAnsi="Times New Roman" w:eastAsia="宋体" w:cs="Times New Roman"/>
                <w:color w:val="auto"/>
                <w:sz w:val="24"/>
                <w:szCs w:val="24"/>
                <w:lang w:eastAsia="zh-CN"/>
              </w:rPr>
              <w:t>不在《生态保护红线划定指南》（环办生态</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2017</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48号）规定的需划入生态保护红线内的重点生态功能区、生态敏感区和脆弱区以及其他要求禁止建设的环境敏感区内</w:t>
            </w:r>
            <w:r>
              <w:rPr>
                <w:rFonts w:hint="eastAsia" w:ascii="Times New Roman" w:hAnsi="Times New Roman" w:eastAsia="宋体" w:cs="Times New Roman"/>
                <w:color w:val="auto"/>
                <w:sz w:val="24"/>
                <w:szCs w:val="24"/>
                <w:lang w:eastAsia="zh-CN"/>
              </w:rPr>
              <w:t>。</w:t>
            </w:r>
          </w:p>
          <w:p w14:paraId="1CC7473B">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因此本</w:t>
            </w:r>
            <w:r>
              <w:rPr>
                <w:rFonts w:ascii="Times New Roman" w:hAnsi="Times New Roman" w:eastAsia="宋体" w:cs="Times New Roman"/>
                <w:color w:val="auto"/>
                <w:sz w:val="24"/>
                <w:szCs w:val="24"/>
                <w:lang w:eastAsia="zh-CN"/>
              </w:rPr>
              <w:t>项目建设不违背生态保护红线划定的原则要求。</w:t>
            </w:r>
          </w:p>
          <w:p w14:paraId="0317C774">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w:t>
            </w:r>
            <w:r>
              <w:rPr>
                <w:rFonts w:ascii="Times New Roman" w:hAnsi="Times New Roman" w:eastAsia="宋体" w:cs="Times New Roman"/>
                <w:color w:val="auto"/>
                <w:sz w:val="24"/>
                <w:szCs w:val="24"/>
                <w:lang w:eastAsia="zh-CN"/>
              </w:rPr>
              <w:t>环境质量底线</w:t>
            </w:r>
          </w:p>
          <w:p w14:paraId="1C5D8C6C">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cs="Times New Roman" w:eastAsiaTheme="majorEastAsia"/>
                <w:color w:val="auto"/>
                <w:sz w:val="24"/>
                <w:szCs w:val="24"/>
                <w:highlight w:val="none"/>
                <w:lang w:eastAsia="zh-CN"/>
              </w:rPr>
              <w:t>1</w:t>
            </w:r>
            <w:r>
              <w:rPr>
                <w:rFonts w:ascii="Times New Roman" w:cs="Times New Roman" w:hAnsiTheme="majorEastAsia" w:eastAsiaTheme="majorEastAsia"/>
                <w:color w:val="auto"/>
                <w:sz w:val="24"/>
                <w:szCs w:val="24"/>
                <w:highlight w:val="none"/>
                <w:lang w:eastAsia="zh-CN"/>
              </w:rPr>
              <w:t>）</w:t>
            </w:r>
            <w:r>
              <w:rPr>
                <w:rFonts w:ascii="Times New Roman" w:hAnsi="Times New Roman" w:eastAsia="宋体" w:cs="Times New Roman"/>
                <w:color w:val="auto"/>
                <w:sz w:val="24"/>
                <w:szCs w:val="24"/>
                <w:highlight w:val="none"/>
                <w:lang w:eastAsia="zh-CN"/>
              </w:rPr>
              <w:t>大气环境质量现状</w:t>
            </w:r>
          </w:p>
          <w:p w14:paraId="4DC86ED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本次评价收集了</w:t>
            </w:r>
            <w:r>
              <w:rPr>
                <w:rFonts w:hint="eastAsia" w:ascii="Times New Roman" w:hAnsi="Times New Roman" w:eastAsia="宋体" w:cs="Times New Roman"/>
                <w:color w:val="auto"/>
                <w:sz w:val="24"/>
                <w:szCs w:val="24"/>
                <w:highlight w:val="none"/>
                <w:lang w:eastAsia="zh-CN"/>
              </w:rPr>
              <w:t>长治市潞城区</w:t>
            </w:r>
            <w:r>
              <w:rPr>
                <w:rFonts w:ascii="Times New Roman" w:hAnsi="Times New Roman" w:eastAsia="宋体" w:cs="Times New Roman"/>
                <w:color w:val="auto"/>
                <w:sz w:val="24"/>
                <w:szCs w:val="24"/>
                <w:highlight w:val="none"/>
                <w:lang w:eastAsia="zh-CN"/>
              </w:rPr>
              <w:t>202</w:t>
            </w: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lang w:eastAsia="zh-CN"/>
              </w:rPr>
              <w:t>年全年环境空气质量现状监测数据</w:t>
            </w:r>
            <w:r>
              <w:rPr>
                <w:rFonts w:hint="eastAsia" w:ascii="Times New Roman" w:hAnsi="Times New Roman" w:eastAsia="宋体" w:cs="Times New Roman"/>
                <w:color w:val="auto"/>
                <w:sz w:val="24"/>
                <w:szCs w:val="24"/>
                <w:highlight w:val="none"/>
                <w:lang w:val="en-US" w:eastAsia="zh-CN"/>
              </w:rPr>
              <w:t>以及进行特征污染物（TSP）现状监测数据</w:t>
            </w:r>
            <w:r>
              <w:rPr>
                <w:rFonts w:ascii="Times New Roman" w:hAnsi="Times New Roman" w:eastAsia="宋体" w:cs="Times New Roman"/>
                <w:color w:val="auto"/>
                <w:sz w:val="24"/>
                <w:szCs w:val="24"/>
                <w:highlight w:val="none"/>
                <w:lang w:eastAsia="zh-CN"/>
              </w:rPr>
              <w:t>统计来反映区域环境质量状况。202</w:t>
            </w: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lang w:eastAsia="zh-CN"/>
              </w:rPr>
              <w:t>年</w:t>
            </w:r>
            <w:r>
              <w:rPr>
                <w:rFonts w:hint="eastAsia" w:ascii="Times New Roman" w:hAnsi="Times New Roman" w:eastAsia="宋体" w:cs="Times New Roman"/>
                <w:color w:val="auto"/>
                <w:sz w:val="24"/>
                <w:szCs w:val="24"/>
                <w:highlight w:val="none"/>
                <w:lang w:eastAsia="zh-CN"/>
              </w:rPr>
              <w:t>长治市潞城区</w:t>
            </w:r>
            <w:r>
              <w:rPr>
                <w:rFonts w:ascii="Times New Roman" w:hAnsi="Times New Roman" w:eastAsia="宋体" w:cs="Times New Roman"/>
                <w:color w:val="auto"/>
                <w:sz w:val="24"/>
                <w:szCs w:val="24"/>
                <w:highlight w:val="none"/>
                <w:lang w:eastAsia="zh-CN"/>
              </w:rPr>
              <w:t>6项基本污染物中</w:t>
            </w:r>
            <w:r>
              <w:rPr>
                <w:rFonts w:hint="eastAsia" w:ascii="Times New Roman" w:hAnsi="Times New Roman" w:eastAsia="宋体" w:cs="Times New Roman"/>
                <w:color w:val="auto"/>
                <w:sz w:val="24"/>
                <w:szCs w:val="24"/>
                <w:highlight w:val="none"/>
                <w:lang w:val="en-US" w:eastAsia="zh-CN"/>
              </w:rPr>
              <w:t>O</w:t>
            </w:r>
            <w:r>
              <w:rPr>
                <w:rFonts w:hint="eastAsia" w:ascii="Times New Roman" w:hAnsi="Times New Roman" w:eastAsia="宋体" w:cs="Times New Roman"/>
                <w:color w:val="auto"/>
                <w:sz w:val="24"/>
                <w:szCs w:val="24"/>
                <w:highlight w:val="none"/>
                <w:vertAlign w:val="subscript"/>
                <w:lang w:val="en-US" w:eastAsia="zh-CN"/>
              </w:rPr>
              <w:t>3</w:t>
            </w:r>
            <w:r>
              <w:rPr>
                <w:rFonts w:hint="eastAsia" w:ascii="Times New Roman" w:hAnsi="Times New Roman" w:eastAsia="宋体" w:cs="Times New Roman"/>
                <w:color w:val="auto"/>
                <w:sz w:val="24"/>
                <w:szCs w:val="24"/>
                <w:highlight w:val="none"/>
                <w:lang w:val="en-US" w:eastAsia="zh-CN"/>
              </w:rPr>
              <w:t>、</w:t>
            </w:r>
            <w:r>
              <w:rPr>
                <w:rFonts w:ascii="Times New Roman" w:hAnsi="Times New Roman" w:eastAsia="宋体" w:cs="Times New Roman"/>
                <w:color w:val="auto"/>
                <w:sz w:val="24"/>
                <w:szCs w:val="24"/>
                <w:highlight w:val="none"/>
                <w:lang w:eastAsia="zh-CN"/>
              </w:rPr>
              <w:t>PM</w:t>
            </w:r>
            <w:r>
              <w:rPr>
                <w:rFonts w:hint="eastAsia" w:ascii="Times New Roman" w:hAnsi="Times New Roman" w:eastAsia="宋体" w:cs="Times New Roman"/>
                <w:color w:val="auto"/>
                <w:sz w:val="24"/>
                <w:szCs w:val="24"/>
                <w:highlight w:val="none"/>
                <w:vertAlign w:val="subscript"/>
                <w:lang w:val="en-US" w:eastAsia="zh-CN"/>
              </w:rPr>
              <w:t>10</w:t>
            </w:r>
            <w:r>
              <w:rPr>
                <w:rFonts w:ascii="Times New Roman" w:hAnsi="Times New Roman" w:eastAsia="宋体" w:cs="Times New Roman"/>
                <w:color w:val="auto"/>
                <w:sz w:val="24"/>
                <w:szCs w:val="24"/>
                <w:highlight w:val="none"/>
                <w:lang w:eastAsia="zh-CN"/>
              </w:rPr>
              <w:t>、PM</w:t>
            </w:r>
            <w:r>
              <w:rPr>
                <w:rFonts w:ascii="Times New Roman" w:hAnsi="Times New Roman" w:eastAsia="宋体" w:cs="Times New Roman"/>
                <w:color w:val="auto"/>
                <w:sz w:val="24"/>
                <w:szCs w:val="24"/>
                <w:highlight w:val="none"/>
                <w:vertAlign w:val="subscript"/>
                <w:lang w:eastAsia="zh-CN"/>
              </w:rPr>
              <w:t>2.5</w:t>
            </w:r>
            <w:r>
              <w:rPr>
                <w:rFonts w:ascii="Times New Roman" w:hAnsi="Times New Roman" w:eastAsia="宋体" w:cs="Times New Roman"/>
                <w:color w:val="auto"/>
                <w:sz w:val="24"/>
                <w:szCs w:val="24"/>
                <w:highlight w:val="none"/>
                <w:lang w:eastAsia="zh-CN"/>
              </w:rPr>
              <w:t>年均浓度出现超标</w:t>
            </w:r>
            <w:r>
              <w:rPr>
                <w:rFonts w:hint="eastAsia" w:ascii="Times New Roman" w:hAnsi="Times New Roman" w:eastAsia="宋体" w:cs="Times New Roman"/>
                <w:color w:val="auto"/>
                <w:sz w:val="24"/>
                <w:szCs w:val="24"/>
                <w:highlight w:val="none"/>
                <w:lang w:eastAsia="zh-CN"/>
              </w:rPr>
              <w:t>，特征因子TSP达标，</w:t>
            </w:r>
            <w:r>
              <w:rPr>
                <w:rFonts w:hint="eastAsia" w:ascii="Times New Roman" w:hAnsi="Times New Roman" w:eastAsia="宋体" w:cs="Times New Roman"/>
                <w:color w:val="auto"/>
                <w:sz w:val="24"/>
                <w:szCs w:val="24"/>
                <w:highlight w:val="none"/>
                <w:lang w:val="en-US" w:eastAsia="zh-CN"/>
              </w:rPr>
              <w:t>因此2023年度长治市潞城区为不达标区</w:t>
            </w:r>
            <w:r>
              <w:rPr>
                <w:rFonts w:ascii="Times New Roman" w:hAnsi="Times New Roman" w:eastAsia="宋体" w:cs="Times New Roman"/>
                <w:color w:val="auto"/>
                <w:sz w:val="24"/>
                <w:szCs w:val="24"/>
                <w:highlight w:val="none"/>
                <w:lang w:eastAsia="zh-CN"/>
              </w:rPr>
              <w:t>。</w:t>
            </w:r>
          </w:p>
          <w:p w14:paraId="4516889A">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cs="Times New Roman" w:eastAsiaTheme="majorEastAsia"/>
                <w:color w:val="auto"/>
                <w:sz w:val="24"/>
                <w:szCs w:val="24"/>
                <w:highlight w:val="none"/>
                <w:lang w:eastAsia="zh-CN"/>
              </w:rPr>
              <w:t>2</w:t>
            </w:r>
            <w:r>
              <w:rPr>
                <w:rFonts w:ascii="Times New Roman" w:cs="Times New Roman" w:hAnsiTheme="majorEastAsia" w:eastAsiaTheme="majorEastAsia"/>
                <w:color w:val="auto"/>
                <w:sz w:val="24"/>
                <w:szCs w:val="24"/>
                <w:highlight w:val="none"/>
                <w:lang w:eastAsia="zh-CN"/>
              </w:rPr>
              <w:t>）</w:t>
            </w:r>
            <w:r>
              <w:rPr>
                <w:rFonts w:ascii="Times New Roman" w:hAnsi="Times New Roman" w:eastAsia="宋体" w:cs="Times New Roman"/>
                <w:color w:val="auto"/>
                <w:sz w:val="24"/>
                <w:szCs w:val="24"/>
                <w:highlight w:val="none"/>
                <w:lang w:eastAsia="zh-CN"/>
              </w:rPr>
              <w:t>地表水环境质量现状</w:t>
            </w:r>
          </w:p>
          <w:p w14:paraId="3B280EFF">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本项目最近地表水为项目东侧3.05km的浊漳南源，经查阅</w:t>
            </w:r>
            <w:r>
              <w:rPr>
                <w:rFonts w:hint="eastAsia" w:ascii="Times New Roman" w:hAnsi="Times New Roman" w:eastAsia="宋体" w:cs="Times New Roman"/>
                <w:color w:val="auto"/>
                <w:sz w:val="24"/>
                <w:szCs w:val="24"/>
                <w:highlight w:val="none"/>
                <w:lang w:eastAsia="zh-CN"/>
              </w:rPr>
              <w:t>长治市生态环境局官网发布的地表水监测报告监测结论，浊漳</w:t>
            </w:r>
            <w:r>
              <w:rPr>
                <w:rFonts w:hint="eastAsia" w:ascii="Times New Roman" w:hAnsi="Times New Roman" w:eastAsia="宋体" w:cs="Times New Roman"/>
                <w:color w:val="auto"/>
                <w:sz w:val="24"/>
                <w:szCs w:val="24"/>
                <w:highlight w:val="none"/>
                <w:lang w:val="en-US" w:eastAsia="zh-CN"/>
              </w:rPr>
              <w:t>南源</w:t>
            </w:r>
            <w:r>
              <w:rPr>
                <w:rFonts w:ascii="Times New Roman" w:hAnsi="Times New Roman" w:eastAsia="宋体" w:cs="Times New Roman"/>
                <w:color w:val="auto"/>
                <w:sz w:val="24"/>
                <w:szCs w:val="24"/>
                <w:highlight w:val="none"/>
                <w:lang w:eastAsia="zh-CN"/>
              </w:rPr>
              <w:t>在202</w:t>
            </w: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lang w:eastAsia="zh-CN"/>
              </w:rPr>
              <w:t>年1-12月水质均可达《地表水环境质量标准》（GB 3838-2002）中</w:t>
            </w:r>
            <w:r>
              <w:rPr>
                <w:rFonts w:hint="eastAsia" w:ascii="Times New Roman" w:hAnsi="Times New Roman" w:eastAsia="宋体" w:cs="Times New Roman"/>
                <w:color w:val="auto"/>
                <w:sz w:val="24"/>
                <w:szCs w:val="24"/>
                <w:highlight w:val="none"/>
                <w:lang w:val="en-US" w:eastAsia="zh-CN"/>
              </w:rPr>
              <w:t>V</w:t>
            </w:r>
            <w:r>
              <w:rPr>
                <w:rFonts w:hint="eastAsia" w:ascii="Times New Roman" w:hAnsi="Times New Roman" w:eastAsia="宋体" w:cs="Times New Roman"/>
                <w:color w:val="auto"/>
                <w:sz w:val="24"/>
                <w:szCs w:val="24"/>
                <w:highlight w:val="none"/>
                <w:lang w:eastAsia="zh-CN"/>
              </w:rPr>
              <w:t>类</w:t>
            </w:r>
            <w:r>
              <w:rPr>
                <w:rFonts w:ascii="Times New Roman" w:hAnsi="Times New Roman" w:eastAsia="宋体" w:cs="Times New Roman"/>
                <w:color w:val="auto"/>
                <w:sz w:val="24"/>
                <w:szCs w:val="24"/>
                <w:highlight w:val="none"/>
                <w:lang w:eastAsia="zh-CN"/>
              </w:rPr>
              <w:t>标准，水质状况</w:t>
            </w:r>
            <w:r>
              <w:rPr>
                <w:rFonts w:hint="eastAsia" w:ascii="Times New Roman" w:hAnsi="Times New Roman" w:eastAsia="宋体" w:cs="Times New Roman"/>
                <w:color w:val="auto"/>
                <w:sz w:val="24"/>
                <w:szCs w:val="24"/>
                <w:highlight w:val="none"/>
                <w:lang w:eastAsia="zh-CN"/>
              </w:rPr>
              <w:t>良好</w:t>
            </w:r>
            <w:r>
              <w:rPr>
                <w:rFonts w:ascii="Times New Roman" w:hAnsi="Times New Roman" w:eastAsia="宋体" w:cs="Times New Roman"/>
                <w:color w:val="auto"/>
                <w:sz w:val="24"/>
                <w:szCs w:val="24"/>
                <w:highlight w:val="none"/>
                <w:lang w:eastAsia="zh-CN"/>
              </w:rPr>
              <w:t>。</w:t>
            </w:r>
          </w:p>
          <w:p w14:paraId="6296BD04">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3）</w:t>
            </w:r>
            <w:r>
              <w:rPr>
                <w:rFonts w:ascii="Times New Roman" w:hAnsi="Times New Roman" w:eastAsia="宋体" w:cs="Times New Roman"/>
                <w:color w:val="auto"/>
                <w:sz w:val="24"/>
                <w:szCs w:val="24"/>
                <w:highlight w:val="none"/>
                <w:lang w:eastAsia="zh-CN"/>
              </w:rPr>
              <w:t>声环境质量现状</w:t>
            </w:r>
          </w:p>
          <w:p w14:paraId="7D2CD667">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本项目厂界外50m</w:t>
            </w:r>
            <w:r>
              <w:rPr>
                <w:rFonts w:hint="eastAsia" w:ascii="Times New Roman" w:hAnsi="Times New Roman" w:eastAsia="宋体" w:cs="Times New Roman"/>
                <w:color w:val="auto"/>
                <w:sz w:val="24"/>
                <w:szCs w:val="24"/>
                <w:highlight w:val="none"/>
                <w:lang w:val="en-US" w:eastAsia="zh-CN"/>
              </w:rPr>
              <w:t>内</w:t>
            </w:r>
            <w:r>
              <w:rPr>
                <w:rFonts w:hint="eastAsia" w:ascii="Times New Roman" w:hAnsi="Times New Roman" w:eastAsia="宋体" w:cs="Times New Roman"/>
                <w:color w:val="auto"/>
                <w:sz w:val="24"/>
                <w:szCs w:val="24"/>
                <w:highlight w:val="none"/>
                <w:lang w:eastAsia="zh-CN"/>
              </w:rPr>
              <w:t>无声环境保护目标，因此可不进行声环境调查</w:t>
            </w:r>
            <w:r>
              <w:rPr>
                <w:rFonts w:ascii="Times New Roman" w:hAnsi="Times New Roman" w:eastAsia="宋体" w:cs="Times New Roman"/>
                <w:color w:val="auto"/>
                <w:sz w:val="24"/>
                <w:szCs w:val="24"/>
                <w:highlight w:val="none"/>
                <w:lang w:eastAsia="zh-CN"/>
              </w:rPr>
              <w:t>。</w:t>
            </w:r>
          </w:p>
          <w:p w14:paraId="6F9DA07C">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4）</w:t>
            </w:r>
            <w:r>
              <w:rPr>
                <w:rFonts w:ascii="Times New Roman" w:hAnsi="Times New Roman" w:eastAsia="宋体" w:cs="Times New Roman"/>
                <w:color w:val="auto"/>
                <w:sz w:val="24"/>
                <w:szCs w:val="24"/>
                <w:lang w:eastAsia="zh-CN"/>
              </w:rPr>
              <w:t>生态环境现状</w:t>
            </w:r>
          </w:p>
          <w:p w14:paraId="40FEADA4">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本项目在原有工矿用地范围内建设，不新增用地</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因此可不进行生态环境现状调查</w:t>
            </w:r>
            <w:r>
              <w:rPr>
                <w:rFonts w:hint="eastAsia" w:ascii="Times New Roman" w:hAnsi="Times New Roman" w:eastAsia="宋体" w:cs="Times New Roman"/>
                <w:color w:val="auto"/>
                <w:sz w:val="24"/>
                <w:szCs w:val="24"/>
                <w:lang w:eastAsia="zh-CN"/>
              </w:rPr>
              <w:t>。</w:t>
            </w:r>
          </w:p>
          <w:p w14:paraId="2C66B0BF">
            <w:pPr>
              <w:spacing w:line="360" w:lineRule="auto"/>
              <w:ind w:firstLine="480" w:firstLineChars="200"/>
              <w:jc w:val="both"/>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5）结论</w:t>
            </w:r>
          </w:p>
          <w:p w14:paraId="3E390B5F">
            <w:pPr>
              <w:spacing w:line="360" w:lineRule="auto"/>
              <w:ind w:firstLine="480" w:firstLineChars="200"/>
              <w:jc w:val="both"/>
              <w:rPr>
                <w:rFonts w:ascii="Times New Roman" w:hAnsi="Times New Roman" w:eastAsia="宋体" w:cs="Times New Roman"/>
                <w:sz w:val="24"/>
                <w:szCs w:val="24"/>
                <w:highlight w:val="none"/>
                <w:lang w:eastAsia="zh-CN"/>
              </w:rPr>
            </w:pPr>
            <w:r>
              <w:rPr>
                <w:rFonts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eastAsia="zh-CN"/>
              </w:rPr>
              <w:t>建成后</w:t>
            </w:r>
            <w:r>
              <w:rPr>
                <w:rFonts w:hint="eastAsia" w:ascii="Times New Roman" w:hAnsi="Times New Roman" w:eastAsia="宋体" w:cs="Times New Roman"/>
                <w:color w:val="auto"/>
                <w:sz w:val="24"/>
                <w:szCs w:val="24"/>
                <w:highlight w:val="none"/>
                <w:lang w:val="en-US" w:eastAsia="zh-CN"/>
              </w:rPr>
              <w:t>经采取环评提出的环保措施后</w:t>
            </w:r>
            <w:r>
              <w:rPr>
                <w:rFonts w:ascii="Times New Roman" w:hAnsi="Times New Roman" w:eastAsia="宋体" w:cs="Times New Roman"/>
                <w:color w:val="auto"/>
                <w:sz w:val="24"/>
                <w:szCs w:val="24"/>
                <w:highlight w:val="none"/>
                <w:lang w:eastAsia="zh-CN"/>
              </w:rPr>
              <w:t>对区域环境质量影响较小，符合环境质量底线要求</w:t>
            </w:r>
            <w:r>
              <w:rPr>
                <w:rFonts w:ascii="Times New Roman" w:hAnsi="Times New Roman" w:eastAsia="宋体" w:cs="Times New Roman"/>
                <w:sz w:val="24"/>
                <w:szCs w:val="24"/>
                <w:highlight w:val="none"/>
                <w:lang w:eastAsia="zh-CN"/>
              </w:rPr>
              <w:t>。</w:t>
            </w:r>
          </w:p>
          <w:p w14:paraId="42948A0D">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（3）</w:t>
            </w:r>
            <w:r>
              <w:rPr>
                <w:rFonts w:ascii="Times New Roman" w:hAnsi="Times New Roman" w:eastAsia="宋体" w:cs="Times New Roman"/>
                <w:color w:val="auto"/>
                <w:sz w:val="24"/>
                <w:szCs w:val="24"/>
                <w:lang w:eastAsia="zh-CN"/>
              </w:rPr>
              <w:t>资源利用上线</w:t>
            </w:r>
          </w:p>
          <w:p w14:paraId="3B834985">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本项目使用的能源主要为水和电，</w:t>
            </w:r>
            <w:r>
              <w:rPr>
                <w:rFonts w:hint="eastAsia" w:ascii="Times New Roman" w:hAnsi="Times New Roman" w:eastAsia="宋体" w:cs="Times New Roman"/>
                <w:color w:val="auto"/>
                <w:sz w:val="24"/>
                <w:szCs w:val="24"/>
                <w:lang w:val="en-US" w:eastAsia="zh-CN"/>
              </w:rPr>
              <w:t>均可满足生产需求</w:t>
            </w:r>
            <w:r>
              <w:rPr>
                <w:rFonts w:ascii="Times New Roman" w:hAnsi="Times New Roman" w:eastAsia="宋体" w:cs="Times New Roman"/>
                <w:color w:val="auto"/>
                <w:sz w:val="24"/>
                <w:szCs w:val="24"/>
                <w:lang w:eastAsia="zh-CN"/>
              </w:rPr>
              <w:t>，项目所在区周围能源丰富，项目生产过程中使用节能设备，加强节能管理，符合资源利用上线规定。</w:t>
            </w:r>
          </w:p>
          <w:p w14:paraId="048D4C98">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（4）</w:t>
            </w:r>
            <w:r>
              <w:rPr>
                <w:rFonts w:ascii="Times New Roman" w:hAnsi="Times New Roman" w:eastAsia="宋体" w:cs="Times New Roman"/>
                <w:color w:val="auto"/>
                <w:sz w:val="24"/>
                <w:szCs w:val="24"/>
                <w:lang w:eastAsia="zh-CN"/>
              </w:rPr>
              <w:t>与环境准入负面清单的对照</w:t>
            </w:r>
          </w:p>
          <w:p w14:paraId="0CCD5B40">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环境准入负面清单是基于生态保护红线、环境质量底线和资源利用上线列出的禁止、限值等差别化环境准入条件和要求。根据</w:t>
            </w:r>
            <w:r>
              <w:rPr>
                <w:rFonts w:hint="eastAsia" w:ascii="Times New Roman" w:hAnsi="Times New Roman" w:eastAsia="宋体" w:cs="Times New Roman"/>
                <w:color w:val="auto"/>
                <w:sz w:val="24"/>
                <w:szCs w:val="24"/>
                <w:lang w:eastAsia="zh-CN"/>
              </w:rPr>
              <w:t>《产业结构调整指导目录（2024年本）》</w:t>
            </w:r>
            <w:r>
              <w:rPr>
                <w:rFonts w:ascii="Times New Roman" w:hAnsi="Times New Roman" w:eastAsia="宋体" w:cs="Times New Roman"/>
                <w:color w:val="auto"/>
                <w:sz w:val="24"/>
                <w:szCs w:val="24"/>
                <w:lang w:eastAsia="zh-CN"/>
              </w:rPr>
              <w:t>，本项目不属于鼓励类、限制类和淘汰类，与产业政策不冲突。同时，根据国务院关于发布实施《促进产业结构调整暂行规定》（国发[2005]40号）第十三规定：不属于鼓励类、限制类和淘汰类，且符合国家有关法律、法规和政策规定的为允许类，因此本项目属于允许类</w:t>
            </w:r>
            <w:r>
              <w:rPr>
                <w:rFonts w:hint="eastAsia" w:ascii="Times New Roman" w:hAnsi="Times New Roman" w:eastAsia="宋体" w:cs="Times New Roman"/>
                <w:color w:val="auto"/>
                <w:sz w:val="24"/>
                <w:szCs w:val="24"/>
                <w:lang w:eastAsia="zh-CN"/>
              </w:rPr>
              <w:t>。且本项目于2024年11月6日取得长治市潞城区行政审批服务管理局下发的《山西省企业投资项目备案证》，同意本项目的建设，</w:t>
            </w:r>
            <w:r>
              <w:rPr>
                <w:rFonts w:ascii="Times New Roman" w:hAnsi="Times New Roman" w:eastAsia="宋体" w:cs="Times New Roman"/>
                <w:color w:val="auto"/>
                <w:sz w:val="24"/>
                <w:szCs w:val="24"/>
                <w:lang w:eastAsia="zh-CN"/>
              </w:rPr>
              <w:t>不违背环境准入负面清单的原则要求。</w:t>
            </w:r>
          </w:p>
          <w:p w14:paraId="45C0205B">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根据《环境保护综合名录（2021年版）》（环办综合函[2021]495号），本项目产品不属于“高污染、高环境风险”产品。</w:t>
            </w:r>
          </w:p>
          <w:p w14:paraId="1A7076D3">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根据《山西省“两高”项目管理目录（202</w:t>
            </w:r>
            <w:r>
              <w:rPr>
                <w:rFonts w:hint="eastAsia" w:ascii="Times New Roman" w:hAnsi="Times New Roman" w:eastAsia="宋体" w:cs="Times New Roman"/>
                <w:color w:val="auto"/>
                <w:sz w:val="24"/>
                <w:szCs w:val="24"/>
                <w:lang w:val="en-US" w:eastAsia="zh-CN"/>
              </w:rPr>
              <w:t>4年</w:t>
            </w:r>
            <w:r>
              <w:rPr>
                <w:rFonts w:hint="eastAsia" w:ascii="Times New Roman" w:hAnsi="Times New Roman" w:eastAsia="宋体" w:cs="Times New Roman"/>
                <w:color w:val="auto"/>
                <w:sz w:val="24"/>
                <w:szCs w:val="24"/>
                <w:lang w:eastAsia="zh-CN"/>
              </w:rPr>
              <w:t>版）》（晋发改资环发[2024]219号），本行业不在山西省两高项目管理目录中</w:t>
            </w:r>
            <w:r>
              <w:rPr>
                <w:rFonts w:hint="eastAsia" w:ascii="Times New Roman" w:hAnsi="Times New Roman" w:eastAsia="宋体" w:cs="Times New Roman"/>
                <w:color w:val="auto"/>
                <w:sz w:val="24"/>
                <w:szCs w:val="24"/>
                <w:highlight w:val="none"/>
                <w:lang w:val="en-US" w:eastAsia="zh-CN"/>
              </w:rPr>
              <w:t>。</w:t>
            </w:r>
          </w:p>
          <w:p w14:paraId="687E3A67">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综上</w:t>
            </w:r>
            <w:r>
              <w:rPr>
                <w:rFonts w:ascii="Times New Roman" w:hAnsi="Times New Roman" w:eastAsia="宋体" w:cs="Times New Roman"/>
                <w:color w:val="auto"/>
                <w:sz w:val="24"/>
                <w:szCs w:val="24"/>
                <w:lang w:eastAsia="zh-CN"/>
              </w:rPr>
              <w:t>，本项目的建设符合国家</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三线一单</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的管控原则。</w:t>
            </w:r>
          </w:p>
          <w:p w14:paraId="645FABF3">
            <w:pPr>
              <w:tabs>
                <w:tab w:val="left" w:pos="2660"/>
              </w:tabs>
              <w:spacing w:line="360" w:lineRule="auto"/>
              <w:ind w:firstLine="482" w:firstLineChars="200"/>
              <w:rPr>
                <w:rFonts w:ascii="Times New Roman" w:hAnsi="Times New Roman" w:eastAsia="宋体" w:cs="Times New Roman"/>
                <w:b/>
                <w:color w:val="auto"/>
                <w:sz w:val="24"/>
                <w:szCs w:val="32"/>
                <w:lang w:eastAsia="zh-CN"/>
              </w:rPr>
            </w:pPr>
            <w:r>
              <w:rPr>
                <w:rFonts w:hint="eastAsia" w:ascii="Times New Roman" w:hAnsi="Times New Roman" w:eastAsia="宋体" w:cs="Times New Roman"/>
                <w:b/>
                <w:bCs/>
                <w:color w:val="auto"/>
                <w:sz w:val="24"/>
                <w:szCs w:val="24"/>
                <w:lang w:val="en-US" w:eastAsia="zh-CN"/>
              </w:rPr>
              <w:t>1.4</w:t>
            </w:r>
            <w:r>
              <w:rPr>
                <w:rFonts w:ascii="Times New Roman" w:hAnsi="Times New Roman" w:eastAsia="宋体" w:cs="Times New Roman"/>
                <w:b/>
                <w:color w:val="auto"/>
                <w:sz w:val="24"/>
                <w:szCs w:val="32"/>
                <w:lang w:eastAsia="zh-CN"/>
              </w:rPr>
              <w:t>与《</w:t>
            </w:r>
            <w:r>
              <w:rPr>
                <w:rFonts w:hint="eastAsia" w:ascii="Times New Roman" w:hAnsi="Times New Roman" w:eastAsia="宋体" w:cs="Times New Roman"/>
                <w:b/>
                <w:color w:val="auto"/>
                <w:sz w:val="24"/>
                <w:szCs w:val="32"/>
                <w:lang w:eastAsia="zh-CN"/>
              </w:rPr>
              <w:t>长治市人民政府关于印发长治市“三线一单”生态环境分区管控实施方案的通知</w:t>
            </w:r>
            <w:r>
              <w:rPr>
                <w:rFonts w:ascii="Times New Roman" w:hAnsi="Times New Roman" w:eastAsia="宋体" w:cs="Times New Roman"/>
                <w:b/>
                <w:color w:val="auto"/>
                <w:sz w:val="24"/>
                <w:szCs w:val="32"/>
                <w:lang w:eastAsia="zh-CN"/>
              </w:rPr>
              <w:t>》（长政发〔2021〕21号）符合性分析</w:t>
            </w:r>
          </w:p>
          <w:p w14:paraId="5902096A">
            <w:pPr>
              <w:jc w:val="center"/>
              <w:rPr>
                <w:rFonts w:ascii="Times New Roman" w:hAnsi="Times New Roman" w:cs="Times New Roman"/>
                <w:b/>
                <w:color w:val="auto"/>
                <w:sz w:val="21"/>
                <w:szCs w:val="21"/>
                <w:lang w:eastAsia="zh-CN"/>
              </w:rPr>
            </w:pPr>
            <w:r>
              <w:rPr>
                <w:rFonts w:ascii="Times New Roman" w:hAnsi="Times New Roman" w:cs="Times New Roman"/>
                <w:b/>
                <w:color w:val="auto"/>
                <w:sz w:val="21"/>
                <w:szCs w:val="21"/>
                <w:lang w:eastAsia="zh-CN"/>
              </w:rPr>
              <w:t>表</w:t>
            </w:r>
            <w:r>
              <w:rPr>
                <w:rFonts w:hint="eastAsia" w:ascii="Times New Roman" w:hAnsi="Times New Roman" w:cs="Times New Roman"/>
                <w:b/>
                <w:color w:val="auto"/>
                <w:sz w:val="21"/>
                <w:szCs w:val="21"/>
                <w:lang w:eastAsia="zh-CN"/>
              </w:rPr>
              <w:t>1</w:t>
            </w:r>
            <w:r>
              <w:rPr>
                <w:rFonts w:hint="eastAsia" w:ascii="Times New Roman" w:hAnsi="Times New Roman" w:cs="Times New Roman"/>
                <w:b/>
                <w:color w:val="auto"/>
                <w:sz w:val="21"/>
                <w:szCs w:val="21"/>
                <w:lang w:val="en-US" w:eastAsia="zh-CN"/>
              </w:rPr>
              <w:t>.4</w:t>
            </w:r>
            <w:r>
              <w:rPr>
                <w:rFonts w:hint="eastAsia" w:ascii="Times New Roman" w:hAnsi="Times New Roman" w:cs="Times New Roman"/>
                <w:b/>
                <w:color w:val="auto"/>
                <w:sz w:val="21"/>
                <w:szCs w:val="21"/>
                <w:lang w:eastAsia="zh-CN"/>
              </w:rPr>
              <w:t>-</w:t>
            </w:r>
            <w:r>
              <w:rPr>
                <w:rFonts w:hint="eastAsia" w:ascii="Times New Roman" w:hAnsi="Times New Roman" w:cs="Times New Roman"/>
                <w:b/>
                <w:color w:val="auto"/>
                <w:sz w:val="21"/>
                <w:szCs w:val="21"/>
                <w:lang w:val="en-US" w:eastAsia="zh-CN"/>
              </w:rPr>
              <w:t>1</w:t>
            </w:r>
            <w:r>
              <w:rPr>
                <w:rFonts w:ascii="Times New Roman" w:hAnsi="Times New Roman" w:cs="Times New Roman"/>
                <w:b/>
                <w:color w:val="auto"/>
                <w:sz w:val="21"/>
                <w:szCs w:val="21"/>
                <w:lang w:eastAsia="zh-CN"/>
              </w:rPr>
              <w:t xml:space="preserve"> 与</w:t>
            </w:r>
            <w:r>
              <w:rPr>
                <w:rFonts w:hint="eastAsia" w:ascii="Times New Roman" w:hAnsi="Times New Roman" w:cs="Times New Roman"/>
                <w:b/>
                <w:color w:val="auto"/>
                <w:sz w:val="21"/>
                <w:szCs w:val="21"/>
                <w:lang w:eastAsia="zh-CN"/>
              </w:rPr>
              <w:t>长治市“三线一单”生态环境分区管控实施方案</w:t>
            </w:r>
            <w:r>
              <w:rPr>
                <w:rFonts w:ascii="Times New Roman" w:hAnsi="Times New Roman" w:cs="Times New Roman"/>
                <w:b/>
                <w:color w:val="auto"/>
                <w:sz w:val="21"/>
                <w:szCs w:val="21"/>
                <w:lang w:eastAsia="zh-CN"/>
              </w:rPr>
              <w:t>符合性分析表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
              <w:gridCol w:w="284"/>
              <w:gridCol w:w="3"/>
              <w:gridCol w:w="3848"/>
              <w:gridCol w:w="2074"/>
              <w:gridCol w:w="3"/>
              <w:gridCol w:w="707"/>
            </w:tblGrid>
            <w:tr w14:paraId="44C5D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70645E4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3854" w:type="dxa"/>
                  <w:tcBorders>
                    <w:tl2br w:val="nil"/>
                    <w:tr2bl w:val="nil"/>
                  </w:tcBorders>
                  <w:vAlign w:val="center"/>
                </w:tcPr>
                <w:p w14:paraId="2212E82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意见</w:t>
                  </w:r>
                  <w:r>
                    <w:rPr>
                      <w:rFonts w:hint="default" w:ascii="Times New Roman" w:hAnsi="Times New Roman" w:eastAsia="宋体" w:cs="Times New Roman"/>
                      <w:color w:val="auto"/>
                      <w:sz w:val="21"/>
                      <w:szCs w:val="21"/>
                    </w:rPr>
                    <w:t>要求</w:t>
                  </w:r>
                </w:p>
              </w:tc>
              <w:tc>
                <w:tcPr>
                  <w:tcW w:w="2080" w:type="dxa"/>
                  <w:gridSpan w:val="2"/>
                  <w:tcBorders>
                    <w:tl2br w:val="nil"/>
                    <w:tr2bl w:val="nil"/>
                  </w:tcBorders>
                  <w:vAlign w:val="center"/>
                </w:tcPr>
                <w:p w14:paraId="4995D1A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本项目具体情况</w:t>
                  </w:r>
                </w:p>
              </w:tc>
              <w:tc>
                <w:tcPr>
                  <w:tcW w:w="708" w:type="dxa"/>
                  <w:tcBorders>
                    <w:tl2br w:val="nil"/>
                    <w:tr2bl w:val="nil"/>
                  </w:tcBorders>
                  <w:vAlign w:val="center"/>
                </w:tcPr>
                <w:p w14:paraId="3FA66EC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w:t>
                  </w:r>
                </w:p>
              </w:tc>
            </w:tr>
            <w:tr w14:paraId="77EC6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4" w:type="dxa"/>
                  <w:gridSpan w:val="7"/>
                  <w:tcBorders>
                    <w:tl2br w:val="nil"/>
                    <w:tr2bl w:val="nil"/>
                  </w:tcBorders>
                  <w:vAlign w:val="center"/>
                </w:tcPr>
                <w:p w14:paraId="31065D1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管控单元</w:t>
                  </w:r>
                </w:p>
              </w:tc>
            </w:tr>
            <w:tr w14:paraId="03F52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314C559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854" w:type="dxa"/>
                  <w:tcBorders>
                    <w:tl2br w:val="nil"/>
                    <w:tr2bl w:val="nil"/>
                  </w:tcBorders>
                  <w:vAlign w:val="center"/>
                </w:tcPr>
                <w:p w14:paraId="7D13EB1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优先保护单元：主要包括生态保护红线、自然保护地、饮用水水源保护区、泉域重点保护区，以及生态功能重要和生态环境敏感脆弱的区域等。</w:t>
                  </w:r>
                </w:p>
                <w:p w14:paraId="46BD547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重点管控单元：主要包括城市建成区、开发区和工业园区、大气环境布局敏感区和弱扩散区，以及开发强度高、污染物排放量大、环境问题相对集中的区域等。</w:t>
                  </w:r>
                </w:p>
                <w:p w14:paraId="47AFCDB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val="en-US" w:eastAsia="zh-CN"/>
                    </w:rPr>
                    <w:t>一般管控单元：指优先保护单元和重点管控单元之外的其他区域。</w:t>
                  </w:r>
                </w:p>
              </w:tc>
              <w:tc>
                <w:tcPr>
                  <w:tcW w:w="2080" w:type="dxa"/>
                  <w:gridSpan w:val="2"/>
                  <w:tcBorders>
                    <w:tl2br w:val="nil"/>
                    <w:tr2bl w:val="nil"/>
                  </w:tcBorders>
                  <w:vAlign w:val="center"/>
                </w:tcPr>
                <w:p w14:paraId="4D21BE8A">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eastAsia="zh-CN"/>
                    </w:rPr>
                    <w:t>本项目建设地点属于</w:t>
                  </w:r>
                  <w:r>
                    <w:rPr>
                      <w:rFonts w:hint="eastAsia" w:ascii="Times New Roman" w:hAnsi="Times New Roman" w:eastAsia="宋体" w:cs="Times New Roman"/>
                      <w:color w:val="auto"/>
                      <w:sz w:val="21"/>
                      <w:szCs w:val="21"/>
                      <w:highlight w:val="none"/>
                      <w:lang w:val="en-US" w:eastAsia="zh-CN"/>
                    </w:rPr>
                    <w:t>重点</w:t>
                  </w:r>
                  <w:r>
                    <w:rPr>
                      <w:rFonts w:hint="default" w:ascii="Times New Roman" w:hAnsi="Times New Roman" w:eastAsia="宋体" w:cs="Times New Roman"/>
                      <w:color w:val="auto"/>
                      <w:sz w:val="21"/>
                      <w:szCs w:val="21"/>
                      <w:highlight w:val="none"/>
                      <w:lang w:eastAsia="zh-CN"/>
                    </w:rPr>
                    <w:t>管控单元（附图</w:t>
                  </w: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eastAsia="zh-CN"/>
                    </w:rPr>
                    <w:t>）</w:t>
                  </w:r>
                </w:p>
              </w:tc>
              <w:tc>
                <w:tcPr>
                  <w:tcW w:w="708" w:type="dxa"/>
                  <w:tcBorders>
                    <w:tl2br w:val="nil"/>
                    <w:tr2bl w:val="nil"/>
                  </w:tcBorders>
                  <w:vAlign w:val="center"/>
                </w:tcPr>
                <w:p w14:paraId="4706C72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r>
            <w:tr w14:paraId="5994F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53EE4FA8">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3854" w:type="dxa"/>
                  <w:tcBorders>
                    <w:tl2br w:val="nil"/>
                    <w:tr2bl w:val="nil"/>
                  </w:tcBorders>
                  <w:vAlign w:val="center"/>
                </w:tcPr>
                <w:p w14:paraId="26BAA608">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以生态修复和环境污染治理为主，进一步优化空间布局，加强污染物排放控制和环境风险防控，不断提升资源能源利用效率，解决生态环境质量不达标、生态环境风险高等问题，实现减污降碳协同效应。加快调整优化产业结构、能源结构，严禁新增钢铁、焦化、铸造、水泥、平板玻璃等产能，加快实施城市规划区“两高”企业搬迁，完善能源消费双控制度。鼓励焦化、化工等传统产业实施“飞地经济”。实施企业绩效分级分类管控，强化联防联控，持续推进清洁取暖散煤治理，严防“散乱污”企业反弹，积极应对重污染天气。</w:t>
                  </w:r>
                </w:p>
              </w:tc>
              <w:tc>
                <w:tcPr>
                  <w:tcW w:w="2080" w:type="dxa"/>
                  <w:gridSpan w:val="2"/>
                  <w:tcBorders>
                    <w:tl2br w:val="nil"/>
                    <w:tr2bl w:val="nil"/>
                  </w:tcBorders>
                  <w:vAlign w:val="center"/>
                </w:tcPr>
                <w:p w14:paraId="184FEDA0">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本项目无行业准入条件要求。根据</w:t>
                  </w:r>
                  <w:r>
                    <w:rPr>
                      <w:rFonts w:hint="eastAsia" w:ascii="Times New Roman" w:hAnsi="Times New Roman" w:eastAsia="宋体" w:cs="Times New Roman"/>
                      <w:color w:val="auto"/>
                      <w:sz w:val="21"/>
                      <w:szCs w:val="21"/>
                      <w:highlight w:val="none"/>
                      <w:lang w:eastAsia="zh-CN"/>
                    </w:rPr>
                    <w:t>《产业结构调整指导目录（2024年本）》</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为允许类</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eastAsia="zh-CN"/>
                    </w:rPr>
                    <w:t>不属于</w:t>
                  </w:r>
                  <w:r>
                    <w:rPr>
                      <w:rFonts w:hint="default" w:ascii="Times New Roman" w:hAnsi="Times New Roman" w:eastAsia="宋体" w:cs="Times New Roman"/>
                      <w:color w:val="auto"/>
                      <w:sz w:val="21"/>
                      <w:szCs w:val="21"/>
                      <w:highlight w:val="none"/>
                      <w:lang w:val="en-US" w:eastAsia="zh-CN"/>
                    </w:rPr>
                    <w:t>钢铁、焦化、铸造、水泥、平板玻璃等企业，不属于“两高”企业。</w:t>
                  </w:r>
                  <w:r>
                    <w:rPr>
                      <w:rFonts w:hint="default" w:ascii="Times New Roman" w:hAnsi="Times New Roman" w:eastAsia="宋体"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采取评价提出的环保措施后，</w:t>
                  </w:r>
                  <w:r>
                    <w:rPr>
                      <w:rFonts w:hint="default" w:ascii="Times New Roman" w:hAnsi="Times New Roman" w:eastAsia="宋体" w:cs="Times New Roman"/>
                      <w:color w:val="auto"/>
                      <w:sz w:val="21"/>
                      <w:szCs w:val="21"/>
                      <w:highlight w:val="none"/>
                      <w:lang w:eastAsia="zh-CN"/>
                    </w:rPr>
                    <w:t>各项污染物均可达标排放，污染物排放量较小，</w:t>
                  </w:r>
                  <w:r>
                    <w:rPr>
                      <w:rFonts w:hint="default" w:ascii="Times New Roman" w:hAnsi="Times New Roman" w:eastAsia="宋体" w:cs="Times New Roman"/>
                      <w:color w:val="auto"/>
                      <w:sz w:val="21"/>
                      <w:szCs w:val="21"/>
                      <w:highlight w:val="none"/>
                    </w:rPr>
                    <w:t>对区域环境质量影响较小。</w:t>
                  </w:r>
                </w:p>
              </w:tc>
              <w:tc>
                <w:tcPr>
                  <w:tcW w:w="708" w:type="dxa"/>
                  <w:tcBorders>
                    <w:tl2br w:val="nil"/>
                    <w:tr2bl w:val="nil"/>
                  </w:tcBorders>
                  <w:vAlign w:val="center"/>
                </w:tcPr>
                <w:p w14:paraId="0EB8673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969A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4" w:type="dxa"/>
                  <w:gridSpan w:val="7"/>
                  <w:tcBorders>
                    <w:tl2br w:val="nil"/>
                    <w:tr2bl w:val="nil"/>
                  </w:tcBorders>
                  <w:vAlign w:val="center"/>
                </w:tcPr>
                <w:p w14:paraId="07D209F3">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长治市生态环境总体准入清单</w:t>
                  </w:r>
                </w:p>
              </w:tc>
            </w:tr>
            <w:tr w14:paraId="54DE9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restart"/>
                  <w:tcBorders>
                    <w:tl2br w:val="nil"/>
                    <w:tr2bl w:val="nil"/>
                  </w:tcBorders>
                  <w:vAlign w:val="center"/>
                </w:tcPr>
                <w:p w14:paraId="0D7DB82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空间布局约束</w:t>
                  </w:r>
                </w:p>
              </w:tc>
              <w:tc>
                <w:tcPr>
                  <w:tcW w:w="3854" w:type="dxa"/>
                  <w:tcBorders>
                    <w:tl2br w:val="nil"/>
                    <w:tr2bl w:val="nil"/>
                  </w:tcBorders>
                  <w:vAlign w:val="center"/>
                </w:tcPr>
                <w:p w14:paraId="336F6EF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改建、扩建“两高”项目须符合生态环境保护法律法规和相关法定规划要求。满足重点污染物排放总量控制、碳排放达峰目标，生态环境准入清单、相关规划环评和相应行业和建设项目环境准入条件、环评文件审批原则要求。</w:t>
                  </w:r>
                </w:p>
              </w:tc>
              <w:tc>
                <w:tcPr>
                  <w:tcW w:w="2080" w:type="dxa"/>
                  <w:gridSpan w:val="2"/>
                  <w:tcBorders>
                    <w:tl2br w:val="nil"/>
                    <w:tr2bl w:val="nil"/>
                  </w:tcBorders>
                  <w:vAlign w:val="center"/>
                </w:tcPr>
                <w:p w14:paraId="170379F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本项目不属于“两高”项目</w:t>
                  </w:r>
                </w:p>
              </w:tc>
              <w:tc>
                <w:tcPr>
                  <w:tcW w:w="708" w:type="dxa"/>
                  <w:tcBorders>
                    <w:tl2br w:val="nil"/>
                    <w:tr2bl w:val="nil"/>
                  </w:tcBorders>
                  <w:vAlign w:val="center"/>
                </w:tcPr>
                <w:p w14:paraId="4CE8745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0067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62BC1B1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6941429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两高”项目应按照《关于加强重点行业建设项目区域消减措施监督管理的通知》（环环评[2021]45号）要求，依据区域环境质量改善目标，制定配套区域污染消减方案，采取有效的污染物区域消减措施，腾出足够的环境容量。</w:t>
                  </w:r>
                </w:p>
              </w:tc>
              <w:tc>
                <w:tcPr>
                  <w:tcW w:w="2080" w:type="dxa"/>
                  <w:gridSpan w:val="2"/>
                  <w:tcBorders>
                    <w:tl2br w:val="nil"/>
                    <w:tr2bl w:val="nil"/>
                  </w:tcBorders>
                  <w:vAlign w:val="center"/>
                </w:tcPr>
                <w:p w14:paraId="7F448A7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本项目不属于“两高”项目</w:t>
                  </w:r>
                </w:p>
              </w:tc>
              <w:tc>
                <w:tcPr>
                  <w:tcW w:w="708" w:type="dxa"/>
                  <w:tcBorders>
                    <w:tl2br w:val="nil"/>
                    <w:tr2bl w:val="nil"/>
                  </w:tcBorders>
                  <w:vAlign w:val="center"/>
                </w:tcPr>
                <w:p w14:paraId="3D34747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6855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664CAE9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58B271D8">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新建、扩建“两高”项目应采用先进适用的工艺技术和装备，单位产品物耗、能耗、水耗等达到清洁生产先进水平，依法制定并严格落实防治土壤与地下水污染措施。</w:t>
                  </w:r>
                </w:p>
              </w:tc>
              <w:tc>
                <w:tcPr>
                  <w:tcW w:w="2080" w:type="dxa"/>
                  <w:gridSpan w:val="2"/>
                  <w:tcBorders>
                    <w:tl2br w:val="nil"/>
                    <w:tr2bl w:val="nil"/>
                  </w:tcBorders>
                  <w:vAlign w:val="center"/>
                </w:tcPr>
                <w:p w14:paraId="498A2D7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本项目不属于“两高”项目</w:t>
                  </w:r>
                </w:p>
              </w:tc>
              <w:tc>
                <w:tcPr>
                  <w:tcW w:w="708" w:type="dxa"/>
                  <w:tcBorders>
                    <w:tl2br w:val="nil"/>
                    <w:tr2bl w:val="nil"/>
                  </w:tcBorders>
                  <w:vAlign w:val="center"/>
                </w:tcPr>
                <w:p w14:paraId="7B4511B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A23D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2874B663">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03F566D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对纳入生态保护红线的区域，原则上按照禁止开发区进行管理，严格禁止开发性、生产性建设活动，在符合现行法律法规前提下，除国家重大战略项目外，仅允许对生态功能不造成破坏的有限人为活动。</w:t>
                  </w:r>
                </w:p>
              </w:tc>
              <w:tc>
                <w:tcPr>
                  <w:tcW w:w="2080" w:type="dxa"/>
                  <w:gridSpan w:val="2"/>
                  <w:tcBorders>
                    <w:tl2br w:val="nil"/>
                    <w:tr2bl w:val="nil"/>
                  </w:tcBorders>
                  <w:vAlign w:val="center"/>
                </w:tcPr>
                <w:p w14:paraId="6AC3154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本项目不涉及生态保护红线</w:t>
                  </w:r>
                </w:p>
              </w:tc>
              <w:tc>
                <w:tcPr>
                  <w:tcW w:w="708" w:type="dxa"/>
                  <w:tcBorders>
                    <w:tl2br w:val="nil"/>
                    <w:tr2bl w:val="nil"/>
                  </w:tcBorders>
                  <w:vAlign w:val="center"/>
                </w:tcPr>
                <w:p w14:paraId="1145218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88A3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7E770E8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6AA1D22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在禁养区内禁止新建规模化畜禽养殖项目。</w:t>
                  </w:r>
                </w:p>
              </w:tc>
              <w:tc>
                <w:tcPr>
                  <w:tcW w:w="2080" w:type="dxa"/>
                  <w:gridSpan w:val="2"/>
                  <w:tcBorders>
                    <w:tl2br w:val="nil"/>
                    <w:tr2bl w:val="nil"/>
                  </w:tcBorders>
                  <w:vAlign w:val="center"/>
                </w:tcPr>
                <w:p w14:paraId="3F85284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本项目不为养殖业</w:t>
                  </w:r>
                </w:p>
              </w:tc>
              <w:tc>
                <w:tcPr>
                  <w:tcW w:w="708" w:type="dxa"/>
                  <w:tcBorders>
                    <w:tl2br w:val="nil"/>
                    <w:tr2bl w:val="nil"/>
                  </w:tcBorders>
                  <w:vAlign w:val="center"/>
                </w:tcPr>
                <w:p w14:paraId="4CEDBA7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4946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216E346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1831DB1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严格控制新建、扩建钢铁、焦化、建材、化工、有色金属等高排放、高污染项目。在居民住宅区等人口密集区域和医院、学校、幼儿园、养老院等其他需要特殊保护的区域及其周边，不得新建、改建和扩建制药、油漆、塑料、橡胶、造纸、饲料等易产生恶臭气体的生产项目或者从事其他产生恶臭气体的生产经营活动，已建成的，应当限期搬迁。</w:t>
                  </w:r>
                </w:p>
              </w:tc>
              <w:tc>
                <w:tcPr>
                  <w:tcW w:w="2080" w:type="dxa"/>
                  <w:gridSpan w:val="2"/>
                  <w:tcBorders>
                    <w:tl2br w:val="nil"/>
                    <w:tr2bl w:val="nil"/>
                  </w:tcBorders>
                  <w:vAlign w:val="center"/>
                </w:tcPr>
                <w:p w14:paraId="6AFEEC6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本项目不为高排放、高污染项目，不为制药、油漆、塑料、橡胶、造纸、饲料，不产生恶臭气体</w:t>
                  </w:r>
                </w:p>
              </w:tc>
              <w:tc>
                <w:tcPr>
                  <w:tcW w:w="708" w:type="dxa"/>
                  <w:tcBorders>
                    <w:tl2br w:val="nil"/>
                    <w:tr2bl w:val="nil"/>
                  </w:tcBorders>
                  <w:vAlign w:val="center"/>
                </w:tcPr>
                <w:p w14:paraId="2B0E4A9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2670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0157048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4193577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禁止在居民区和学校、医院、疗养院、养老院、幼儿园等单位周边新建、改建、扩建可能造成土壤污染的建设项目</w:t>
                  </w:r>
                </w:p>
              </w:tc>
              <w:tc>
                <w:tcPr>
                  <w:tcW w:w="2080" w:type="dxa"/>
                  <w:gridSpan w:val="2"/>
                  <w:tcBorders>
                    <w:tl2br w:val="nil"/>
                    <w:tr2bl w:val="nil"/>
                  </w:tcBorders>
                  <w:vAlign w:val="center"/>
                </w:tcPr>
                <w:p w14:paraId="4399D14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本项目在采取防渗措施后基本不会形成污染途径</w:t>
                  </w:r>
                </w:p>
              </w:tc>
              <w:tc>
                <w:tcPr>
                  <w:tcW w:w="708" w:type="dxa"/>
                  <w:tcBorders>
                    <w:tl2br w:val="nil"/>
                    <w:tr2bl w:val="nil"/>
                  </w:tcBorders>
                  <w:vAlign w:val="center"/>
                </w:tcPr>
                <w:p w14:paraId="16C083B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AFEF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2" w:type="dxa"/>
                  <w:gridSpan w:val="3"/>
                  <w:vMerge w:val="continue"/>
                  <w:tcBorders>
                    <w:tl2br w:val="nil"/>
                    <w:tr2bl w:val="nil"/>
                  </w:tcBorders>
                  <w:vAlign w:val="center"/>
                </w:tcPr>
                <w:p w14:paraId="3E01AD7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698DE65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禁止新增钢铁、焦化、铸造、水泥、平板玻璃等产能；确有必要新建的，应当严格执行产能置换，符合区域、行业规划环评规定。</w:t>
                  </w:r>
                </w:p>
              </w:tc>
              <w:tc>
                <w:tcPr>
                  <w:tcW w:w="2080" w:type="dxa"/>
                  <w:gridSpan w:val="2"/>
                  <w:tcBorders>
                    <w:tl2br w:val="nil"/>
                    <w:tr2bl w:val="nil"/>
                  </w:tcBorders>
                  <w:vAlign w:val="center"/>
                </w:tcPr>
                <w:p w14:paraId="359E895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本项目不为钢铁、焦化、铸造、水泥、平板玻璃等项目</w:t>
                  </w:r>
                </w:p>
              </w:tc>
              <w:tc>
                <w:tcPr>
                  <w:tcW w:w="708" w:type="dxa"/>
                  <w:tcBorders>
                    <w:tl2br w:val="nil"/>
                    <w:tr2bl w:val="nil"/>
                  </w:tcBorders>
                  <w:vAlign w:val="center"/>
                </w:tcPr>
                <w:p w14:paraId="04A32B0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2637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572" w:type="dxa"/>
                  <w:gridSpan w:val="3"/>
                  <w:vMerge w:val="restart"/>
                  <w:tcBorders>
                    <w:tl2br w:val="nil"/>
                    <w:tr2bl w:val="nil"/>
                  </w:tcBorders>
                  <w:vAlign w:val="center"/>
                </w:tcPr>
                <w:p w14:paraId="2DC80A9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污染物排放管控</w:t>
                  </w:r>
                </w:p>
              </w:tc>
              <w:tc>
                <w:tcPr>
                  <w:tcW w:w="3854" w:type="dxa"/>
                  <w:tcBorders>
                    <w:tl2br w:val="nil"/>
                    <w:tr2bl w:val="nil"/>
                  </w:tcBorders>
                  <w:vAlign w:val="center"/>
                </w:tcPr>
                <w:p w14:paraId="6BEEC7A8">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污染物排放总量严格落实“十四五”相关目标指标。</w:t>
                  </w:r>
                </w:p>
              </w:tc>
              <w:tc>
                <w:tcPr>
                  <w:tcW w:w="2080" w:type="dxa"/>
                  <w:gridSpan w:val="2"/>
                  <w:tcBorders>
                    <w:tl2br w:val="nil"/>
                    <w:tr2bl w:val="nil"/>
                  </w:tcBorders>
                  <w:vAlign w:val="center"/>
                </w:tcPr>
                <w:p w14:paraId="0B9BA69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满足总量排放</w:t>
                  </w:r>
                  <w:r>
                    <w:rPr>
                      <w:rFonts w:hint="default" w:ascii="Times New Roman" w:hAnsi="Times New Roman" w:eastAsia="宋体" w:cs="Times New Roman"/>
                      <w:color w:val="auto"/>
                      <w:sz w:val="21"/>
                      <w:szCs w:val="21"/>
                      <w:lang w:val="en-US" w:eastAsia="zh-CN"/>
                    </w:rPr>
                    <w:t>指标</w:t>
                  </w:r>
                </w:p>
              </w:tc>
              <w:tc>
                <w:tcPr>
                  <w:tcW w:w="708" w:type="dxa"/>
                  <w:tcBorders>
                    <w:tl2br w:val="nil"/>
                    <w:tr2bl w:val="nil"/>
                  </w:tcBorders>
                  <w:vAlign w:val="center"/>
                </w:tcPr>
                <w:p w14:paraId="6137B0F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C08E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73A1C0D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107C528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工业企业废水及生活污水（含浓盐水等清净下水）处理设施出水水质达到《污水综合排放》（DB14/1928-2019）要求，其他指标达行业特别排放限值，将废污水排入城镇排水设施的所有工业、医疗机构执行排水许可证要求。</w:t>
                  </w:r>
                </w:p>
              </w:tc>
              <w:tc>
                <w:tcPr>
                  <w:tcW w:w="2080" w:type="dxa"/>
                  <w:gridSpan w:val="2"/>
                  <w:tcBorders>
                    <w:tl2br w:val="nil"/>
                    <w:tr2bl w:val="nil"/>
                  </w:tcBorders>
                  <w:vAlign w:val="center"/>
                </w:tcPr>
                <w:p w14:paraId="3AD9BD5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废水不外排</w:t>
                  </w:r>
                </w:p>
              </w:tc>
              <w:tc>
                <w:tcPr>
                  <w:tcW w:w="708" w:type="dxa"/>
                  <w:tcBorders>
                    <w:tl2br w:val="nil"/>
                    <w:tr2bl w:val="nil"/>
                  </w:tcBorders>
                  <w:vAlign w:val="center"/>
                </w:tcPr>
                <w:p w14:paraId="32FD70B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A462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379B887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665E671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火电、炼钢行业执行超低排放标准</w:t>
                  </w:r>
                </w:p>
              </w:tc>
              <w:tc>
                <w:tcPr>
                  <w:tcW w:w="2080" w:type="dxa"/>
                  <w:gridSpan w:val="2"/>
                  <w:tcBorders>
                    <w:tl2br w:val="nil"/>
                    <w:tr2bl w:val="nil"/>
                  </w:tcBorders>
                  <w:vAlign w:val="center"/>
                </w:tcPr>
                <w:p w14:paraId="1F9A1DE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734E005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r>
            <w:tr w14:paraId="467DC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03081CE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7B238D6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焦化、水泥行业按要求完成超低排放改造，污染物排放执行超低排放标准。</w:t>
                  </w:r>
                </w:p>
              </w:tc>
              <w:tc>
                <w:tcPr>
                  <w:tcW w:w="2080" w:type="dxa"/>
                  <w:gridSpan w:val="2"/>
                  <w:tcBorders>
                    <w:tl2br w:val="nil"/>
                    <w:tr2bl w:val="nil"/>
                  </w:tcBorders>
                  <w:vAlign w:val="center"/>
                </w:tcPr>
                <w:p w14:paraId="08EC2B33">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272AF30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r>
            <w:tr w14:paraId="240F2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6377880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1075375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加强建筑施工扬尘动态监管，严格落实“六个百分之百”防治措施。</w:t>
                  </w:r>
                </w:p>
              </w:tc>
              <w:tc>
                <w:tcPr>
                  <w:tcW w:w="2080" w:type="dxa"/>
                  <w:gridSpan w:val="2"/>
                  <w:tcBorders>
                    <w:tl2br w:val="nil"/>
                    <w:tr2bl w:val="nil"/>
                  </w:tcBorders>
                  <w:vAlign w:val="center"/>
                </w:tcPr>
                <w:p w14:paraId="5150D54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严格落实“六个百分之百”防治措施</w:t>
                  </w:r>
                </w:p>
              </w:tc>
              <w:tc>
                <w:tcPr>
                  <w:tcW w:w="708" w:type="dxa"/>
                  <w:tcBorders>
                    <w:tl2br w:val="nil"/>
                    <w:tr2bl w:val="nil"/>
                  </w:tcBorders>
                  <w:vAlign w:val="center"/>
                </w:tcPr>
                <w:p w14:paraId="18E58F5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30BD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10A59E6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52D369C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贮存煤炭、煤矸石、煤渣、煤灰、水泥、石灰、石膏、砂土等易产生扬尘的物料应当密闭，并采取有效抑尘措施</w:t>
                  </w:r>
                </w:p>
              </w:tc>
              <w:tc>
                <w:tcPr>
                  <w:tcW w:w="2080" w:type="dxa"/>
                  <w:gridSpan w:val="2"/>
                  <w:tcBorders>
                    <w:tl2br w:val="nil"/>
                    <w:tr2bl w:val="nil"/>
                  </w:tcBorders>
                  <w:vAlign w:val="center"/>
                </w:tcPr>
                <w:p w14:paraId="1DC207C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原料库</w:t>
                  </w:r>
                  <w:r>
                    <w:rPr>
                      <w:rFonts w:hint="default" w:ascii="Times New Roman" w:hAnsi="Times New Roman" w:eastAsia="宋体" w:cs="Times New Roman"/>
                      <w:color w:val="auto"/>
                      <w:sz w:val="21"/>
                      <w:szCs w:val="21"/>
                      <w:lang w:val="en-US" w:eastAsia="zh-CN"/>
                    </w:rPr>
                    <w:t>全封闭</w:t>
                  </w:r>
                </w:p>
              </w:tc>
              <w:tc>
                <w:tcPr>
                  <w:tcW w:w="708" w:type="dxa"/>
                  <w:tcBorders>
                    <w:tl2br w:val="nil"/>
                    <w:tr2bl w:val="nil"/>
                  </w:tcBorders>
                  <w:vAlign w:val="center"/>
                </w:tcPr>
                <w:p w14:paraId="5166DA7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DACD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269830B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507E269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运输煤炭、垃圾、渣土、砂石、土方、灰浆等散装、流体物料的车辆应当采取密闭或者其他措施防止物料遗撒造成扬尘污染，并按照规定路线行驶</w:t>
                  </w:r>
                </w:p>
              </w:tc>
              <w:tc>
                <w:tcPr>
                  <w:tcW w:w="2080" w:type="dxa"/>
                  <w:gridSpan w:val="2"/>
                  <w:tcBorders>
                    <w:tl2br w:val="nil"/>
                    <w:tr2bl w:val="nil"/>
                  </w:tcBorders>
                  <w:vAlign w:val="center"/>
                </w:tcPr>
                <w:p w14:paraId="1F3C5E1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依托现有</w:t>
                  </w:r>
                  <w:r>
                    <w:rPr>
                      <w:rFonts w:hint="default" w:ascii="Times New Roman" w:hAnsi="Times New Roman" w:eastAsia="宋体" w:cs="Times New Roman"/>
                      <w:color w:val="auto"/>
                      <w:sz w:val="21"/>
                      <w:szCs w:val="21"/>
                      <w:lang w:val="en-US" w:eastAsia="zh-CN"/>
                    </w:rPr>
                    <w:t>洗车平台，运输车采用</w:t>
                  </w:r>
                  <w:r>
                    <w:rPr>
                      <w:rFonts w:hint="eastAsia" w:ascii="Times New Roman" w:hAnsi="Times New Roman" w:eastAsia="宋体" w:cs="Times New Roman"/>
                      <w:color w:val="auto"/>
                      <w:sz w:val="21"/>
                      <w:szCs w:val="21"/>
                      <w:lang w:val="en-US" w:eastAsia="zh-CN"/>
                    </w:rPr>
                    <w:t>篷布遮盖货车</w:t>
                  </w:r>
                  <w:r>
                    <w:rPr>
                      <w:rFonts w:hint="default" w:ascii="Times New Roman" w:hAnsi="Times New Roman" w:eastAsia="宋体" w:cs="Times New Roman"/>
                      <w:color w:val="auto"/>
                      <w:sz w:val="21"/>
                      <w:szCs w:val="21"/>
                      <w:lang w:val="en-US" w:eastAsia="zh-CN"/>
                    </w:rPr>
                    <w:t>，减速行驶</w:t>
                  </w:r>
                </w:p>
              </w:tc>
              <w:tc>
                <w:tcPr>
                  <w:tcW w:w="708" w:type="dxa"/>
                  <w:tcBorders>
                    <w:tl2br w:val="nil"/>
                    <w:tr2bl w:val="nil"/>
                  </w:tcBorders>
                  <w:vAlign w:val="center"/>
                </w:tcPr>
                <w:p w14:paraId="2A67DF8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D573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20A6374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7B473C9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从事有色金属矿采选、有色金属治炼、铅蓄电池制造、皮革及其制品制造、化学原料以及化学制品制造、电镀等的单位，应当执行重金属污染物排放总量控制制度</w:t>
                  </w:r>
                </w:p>
              </w:tc>
              <w:tc>
                <w:tcPr>
                  <w:tcW w:w="2080" w:type="dxa"/>
                  <w:gridSpan w:val="2"/>
                  <w:tcBorders>
                    <w:tl2br w:val="nil"/>
                    <w:tr2bl w:val="nil"/>
                  </w:tcBorders>
                  <w:vAlign w:val="center"/>
                </w:tcPr>
                <w:p w14:paraId="5E6C9EE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34348B6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r>
            <w:tr w14:paraId="3D3DB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restart"/>
                  <w:tcBorders>
                    <w:tl2br w:val="nil"/>
                    <w:tr2bl w:val="nil"/>
                  </w:tcBorders>
                  <w:vAlign w:val="center"/>
                </w:tcPr>
                <w:p w14:paraId="44FC228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环境风险防控</w:t>
                  </w:r>
                </w:p>
              </w:tc>
              <w:tc>
                <w:tcPr>
                  <w:tcW w:w="3854" w:type="dxa"/>
                  <w:tcBorders>
                    <w:tl2br w:val="nil"/>
                    <w:tr2bl w:val="nil"/>
                  </w:tcBorders>
                  <w:vAlign w:val="center"/>
                </w:tcPr>
                <w:p w14:paraId="5D02BC2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企事业单位和其他生产经营者按照相关规定编制突发环境事件应急预案并向所在地县（区）生态环境部门报备</w:t>
                  </w:r>
                </w:p>
              </w:tc>
              <w:tc>
                <w:tcPr>
                  <w:tcW w:w="2080" w:type="dxa"/>
                  <w:gridSpan w:val="2"/>
                  <w:tcBorders>
                    <w:tl2br w:val="nil"/>
                    <w:tr2bl w:val="nil"/>
                  </w:tcBorders>
                  <w:vAlign w:val="center"/>
                </w:tcPr>
                <w:p w14:paraId="411A7773">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已要求编制突发环境事件应急预案</w:t>
                  </w:r>
                </w:p>
              </w:tc>
              <w:tc>
                <w:tcPr>
                  <w:tcW w:w="708" w:type="dxa"/>
                  <w:tcBorders>
                    <w:tl2br w:val="nil"/>
                    <w:tr2bl w:val="nil"/>
                  </w:tcBorders>
                  <w:vAlign w:val="center"/>
                </w:tcPr>
                <w:p w14:paraId="1BE2C38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6CC7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7C8B527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2319924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煤矸石、粉煤灰、电石渣等一般工业固体废物贮存、利用、处置要符合相关规范要求</w:t>
                  </w:r>
                </w:p>
              </w:tc>
              <w:tc>
                <w:tcPr>
                  <w:tcW w:w="2080" w:type="dxa"/>
                  <w:gridSpan w:val="2"/>
                  <w:tcBorders>
                    <w:tl2br w:val="nil"/>
                    <w:tr2bl w:val="nil"/>
                  </w:tcBorders>
                  <w:vAlign w:val="center"/>
                </w:tcPr>
                <w:p w14:paraId="247A964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7A48879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r>
            <w:tr w14:paraId="05534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3A66C02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148C8903">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所有危险废物一律规范收集、贮存、转运、利用、处置</w:t>
                  </w:r>
                </w:p>
              </w:tc>
              <w:tc>
                <w:tcPr>
                  <w:tcW w:w="2080" w:type="dxa"/>
                  <w:gridSpan w:val="2"/>
                  <w:tcBorders>
                    <w:tl2br w:val="nil"/>
                    <w:tr2bl w:val="nil"/>
                  </w:tcBorders>
                  <w:vAlign w:val="center"/>
                </w:tcPr>
                <w:p w14:paraId="4E3CDD1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危险废物</w:t>
                  </w:r>
                  <w:r>
                    <w:rPr>
                      <w:rFonts w:hint="default" w:ascii="Times New Roman" w:hAnsi="Times New Roman" w:eastAsia="宋体" w:cs="Times New Roman"/>
                      <w:color w:val="auto"/>
                      <w:sz w:val="21"/>
                      <w:szCs w:val="21"/>
                      <w:lang w:eastAsia="zh-CN"/>
                    </w:rPr>
                    <w:t>委托有资质单位定期处置</w:t>
                  </w:r>
                </w:p>
              </w:tc>
              <w:tc>
                <w:tcPr>
                  <w:tcW w:w="708" w:type="dxa"/>
                  <w:tcBorders>
                    <w:tl2br w:val="nil"/>
                    <w:tr2bl w:val="nil"/>
                  </w:tcBorders>
                  <w:vAlign w:val="center"/>
                </w:tcPr>
                <w:p w14:paraId="5FE9DBF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DD8D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vMerge w:val="continue"/>
                  <w:tcBorders>
                    <w:tl2br w:val="nil"/>
                    <w:tr2bl w:val="nil"/>
                  </w:tcBorders>
                  <w:vAlign w:val="center"/>
                </w:tcPr>
                <w:p w14:paraId="0814117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38C1ED1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严格控制农用地的农药使用量，禁止使用高毒、高残留农药</w:t>
                  </w:r>
                </w:p>
              </w:tc>
              <w:tc>
                <w:tcPr>
                  <w:tcW w:w="2080" w:type="dxa"/>
                  <w:gridSpan w:val="2"/>
                  <w:tcBorders>
                    <w:tl2br w:val="nil"/>
                    <w:tr2bl w:val="nil"/>
                  </w:tcBorders>
                  <w:vAlign w:val="center"/>
                </w:tcPr>
                <w:p w14:paraId="1D8DBFB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40B843E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r>
            <w:tr w14:paraId="5B554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restart"/>
                  <w:tcBorders>
                    <w:tl2br w:val="nil"/>
                    <w:tr2bl w:val="nil"/>
                  </w:tcBorders>
                  <w:vAlign w:val="center"/>
                </w:tcPr>
                <w:p w14:paraId="5C226EE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资源利用效率</w:t>
                  </w:r>
                </w:p>
              </w:tc>
              <w:tc>
                <w:tcPr>
                  <w:tcW w:w="287" w:type="dxa"/>
                  <w:gridSpan w:val="2"/>
                  <w:vMerge w:val="restart"/>
                  <w:tcBorders>
                    <w:tl2br w:val="nil"/>
                    <w:tr2bl w:val="nil"/>
                  </w:tcBorders>
                  <w:vAlign w:val="center"/>
                </w:tcPr>
                <w:p w14:paraId="2C5D6FE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水资源利用</w:t>
                  </w:r>
                </w:p>
              </w:tc>
              <w:tc>
                <w:tcPr>
                  <w:tcW w:w="3854" w:type="dxa"/>
                  <w:tcBorders>
                    <w:tl2br w:val="nil"/>
                    <w:tr2bl w:val="nil"/>
                  </w:tcBorders>
                  <w:vAlign w:val="center"/>
                </w:tcPr>
                <w:p w14:paraId="6E1CDD5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水资源利用上线严格落实“十四五”相关目标指标</w:t>
                  </w:r>
                </w:p>
              </w:tc>
              <w:tc>
                <w:tcPr>
                  <w:tcW w:w="2080" w:type="dxa"/>
                  <w:gridSpan w:val="2"/>
                  <w:tcBorders>
                    <w:tl2br w:val="nil"/>
                    <w:tr2bl w:val="nil"/>
                  </w:tcBorders>
                  <w:vAlign w:val="center"/>
                </w:tcPr>
                <w:p w14:paraId="4A60240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本项目用水量较少</w:t>
                  </w:r>
                </w:p>
              </w:tc>
              <w:tc>
                <w:tcPr>
                  <w:tcW w:w="708" w:type="dxa"/>
                  <w:tcBorders>
                    <w:tl2br w:val="nil"/>
                    <w:tr2bl w:val="nil"/>
                  </w:tcBorders>
                  <w:vAlign w:val="center"/>
                </w:tcPr>
                <w:p w14:paraId="6986F1D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833E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3716A4D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49A0B7E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2D785A8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加快推进辛安泉饮用水水源地保护区和泉域重点保护区的保护和生态修复工作</w:t>
                  </w:r>
                </w:p>
              </w:tc>
              <w:tc>
                <w:tcPr>
                  <w:tcW w:w="2080" w:type="dxa"/>
                  <w:gridSpan w:val="2"/>
                  <w:tcBorders>
                    <w:tl2br w:val="nil"/>
                    <w:tr2bl w:val="nil"/>
                  </w:tcBorders>
                  <w:vAlign w:val="center"/>
                </w:tcPr>
                <w:p w14:paraId="19F40DE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不位于保护区范围内</w:t>
                  </w:r>
                </w:p>
              </w:tc>
              <w:tc>
                <w:tcPr>
                  <w:tcW w:w="708" w:type="dxa"/>
                  <w:tcBorders>
                    <w:tl2br w:val="nil"/>
                    <w:tr2bl w:val="nil"/>
                  </w:tcBorders>
                  <w:vAlign w:val="center"/>
                </w:tcPr>
                <w:p w14:paraId="3F40DB5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71DD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7FD561D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26D4FF0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408330E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大力推进工业节水改造，鼓励支持企业开展节水技术改造和再生水回用</w:t>
                  </w:r>
                </w:p>
              </w:tc>
              <w:tc>
                <w:tcPr>
                  <w:tcW w:w="2080" w:type="dxa"/>
                  <w:gridSpan w:val="2"/>
                  <w:tcBorders>
                    <w:tl2br w:val="nil"/>
                    <w:tr2bl w:val="nil"/>
                  </w:tcBorders>
                  <w:vAlign w:val="center"/>
                </w:tcPr>
                <w:p w14:paraId="4611B7B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本项目废水</w:t>
                  </w:r>
                  <w:r>
                    <w:rPr>
                      <w:rFonts w:hint="eastAsia" w:ascii="Times New Roman" w:hAnsi="Times New Roman" w:eastAsia="宋体" w:cs="Times New Roman"/>
                      <w:color w:val="auto"/>
                      <w:sz w:val="21"/>
                      <w:szCs w:val="21"/>
                      <w:lang w:val="en-US" w:eastAsia="zh-CN"/>
                    </w:rPr>
                    <w:t>回用</w:t>
                  </w:r>
                  <w:r>
                    <w:rPr>
                      <w:rFonts w:hint="default" w:ascii="Times New Roman" w:hAnsi="Times New Roman" w:eastAsia="宋体" w:cs="Times New Roman"/>
                      <w:color w:val="auto"/>
                      <w:sz w:val="21"/>
                      <w:szCs w:val="21"/>
                      <w:lang w:eastAsia="zh-CN"/>
                    </w:rPr>
                    <w:t>不外排</w:t>
                  </w:r>
                </w:p>
              </w:tc>
              <w:tc>
                <w:tcPr>
                  <w:tcW w:w="708" w:type="dxa"/>
                  <w:tcBorders>
                    <w:tl2br w:val="nil"/>
                    <w:tr2bl w:val="nil"/>
                  </w:tcBorders>
                  <w:vAlign w:val="center"/>
                </w:tcPr>
                <w:p w14:paraId="7A2720B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CF55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23135C30">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070C203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1ABA086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严格实行水资源管理制度，坚持以水定城、以水定地、以水定人、以水定产，提高水资源集约安全利用水平</w:t>
                  </w:r>
                </w:p>
              </w:tc>
              <w:tc>
                <w:tcPr>
                  <w:tcW w:w="2080" w:type="dxa"/>
                  <w:gridSpan w:val="2"/>
                  <w:tcBorders>
                    <w:tl2br w:val="nil"/>
                    <w:tr2bl w:val="nil"/>
                  </w:tcBorders>
                  <w:vAlign w:val="center"/>
                </w:tcPr>
                <w:p w14:paraId="4FEF6CF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本项目废水</w:t>
                  </w:r>
                  <w:r>
                    <w:rPr>
                      <w:rFonts w:hint="eastAsia" w:ascii="Times New Roman" w:hAnsi="Times New Roman" w:eastAsia="宋体" w:cs="Times New Roman"/>
                      <w:color w:val="auto"/>
                      <w:sz w:val="21"/>
                      <w:szCs w:val="21"/>
                      <w:lang w:val="en-US" w:eastAsia="zh-CN"/>
                    </w:rPr>
                    <w:t>回用</w:t>
                  </w:r>
                  <w:r>
                    <w:rPr>
                      <w:rFonts w:hint="default" w:ascii="Times New Roman" w:hAnsi="Times New Roman" w:eastAsia="宋体" w:cs="Times New Roman"/>
                      <w:color w:val="auto"/>
                      <w:sz w:val="21"/>
                      <w:szCs w:val="21"/>
                      <w:lang w:eastAsia="zh-CN"/>
                    </w:rPr>
                    <w:t>不外排</w:t>
                  </w:r>
                </w:p>
              </w:tc>
              <w:tc>
                <w:tcPr>
                  <w:tcW w:w="708" w:type="dxa"/>
                  <w:tcBorders>
                    <w:tl2br w:val="nil"/>
                    <w:tr2bl w:val="nil"/>
                  </w:tcBorders>
                  <w:vAlign w:val="center"/>
                </w:tcPr>
                <w:p w14:paraId="4B7CA62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8A56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50999D8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3D25AEB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0A2077B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新建、改建、扩建项目涉及开发利用辛安泉域水资源的必须符合《山西省泉域水资源保护条例》相关规定</w:t>
                  </w:r>
                </w:p>
              </w:tc>
              <w:tc>
                <w:tcPr>
                  <w:tcW w:w="2080" w:type="dxa"/>
                  <w:gridSpan w:val="2"/>
                  <w:tcBorders>
                    <w:tl2br w:val="nil"/>
                    <w:tr2bl w:val="nil"/>
                  </w:tcBorders>
                  <w:vAlign w:val="center"/>
                </w:tcPr>
                <w:p w14:paraId="6776105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不</w:t>
                  </w:r>
                  <w:r>
                    <w:rPr>
                      <w:rFonts w:hint="eastAsia" w:ascii="Times New Roman" w:hAnsi="Times New Roman" w:eastAsia="宋体" w:cs="Times New Roman"/>
                      <w:color w:val="auto"/>
                      <w:sz w:val="21"/>
                      <w:szCs w:val="21"/>
                      <w:lang w:val="en-US" w:eastAsia="zh-CN"/>
                    </w:rPr>
                    <w:t>涉及</w:t>
                  </w:r>
                  <w:r>
                    <w:rPr>
                      <w:rFonts w:hint="default" w:ascii="Times New Roman" w:hAnsi="Times New Roman" w:eastAsia="宋体" w:cs="Times New Roman"/>
                      <w:color w:val="auto"/>
                      <w:sz w:val="21"/>
                      <w:szCs w:val="21"/>
                      <w:lang w:eastAsia="zh-CN"/>
                    </w:rPr>
                    <w:t>开发利用辛安泉域水资源</w:t>
                  </w:r>
                </w:p>
              </w:tc>
              <w:tc>
                <w:tcPr>
                  <w:tcW w:w="708" w:type="dxa"/>
                  <w:tcBorders>
                    <w:tl2br w:val="nil"/>
                    <w:tr2bl w:val="nil"/>
                  </w:tcBorders>
                  <w:vAlign w:val="center"/>
                </w:tcPr>
                <w:p w14:paraId="0032198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27D5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1909B577">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restart"/>
                  <w:tcBorders>
                    <w:tl2br w:val="nil"/>
                    <w:tr2bl w:val="nil"/>
                  </w:tcBorders>
                  <w:vAlign w:val="center"/>
                </w:tcPr>
                <w:p w14:paraId="1D3AE89A">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能源利用</w:t>
                  </w:r>
                </w:p>
              </w:tc>
              <w:tc>
                <w:tcPr>
                  <w:tcW w:w="3854" w:type="dxa"/>
                  <w:tcBorders>
                    <w:tl2br w:val="nil"/>
                    <w:tr2bl w:val="nil"/>
                  </w:tcBorders>
                  <w:vAlign w:val="center"/>
                </w:tcPr>
                <w:p w14:paraId="108A46C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能源利用上线严格落实“十四五”相关目标指标以及碳达峰、碳中和相关要求</w:t>
                  </w:r>
                </w:p>
              </w:tc>
              <w:tc>
                <w:tcPr>
                  <w:tcW w:w="2080" w:type="dxa"/>
                  <w:gridSpan w:val="2"/>
                  <w:tcBorders>
                    <w:tl2br w:val="nil"/>
                    <w:tr2bl w:val="nil"/>
                  </w:tcBorders>
                  <w:vAlign w:val="center"/>
                </w:tcPr>
                <w:p w14:paraId="45C0A3B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本项目有用电、水量较少</w:t>
                  </w:r>
                </w:p>
              </w:tc>
              <w:tc>
                <w:tcPr>
                  <w:tcW w:w="708" w:type="dxa"/>
                  <w:tcBorders>
                    <w:tl2br w:val="nil"/>
                    <w:tr2bl w:val="nil"/>
                  </w:tcBorders>
                  <w:vAlign w:val="center"/>
                </w:tcPr>
                <w:p w14:paraId="655EE66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242F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1CEE77F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0971C73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4BA2DF4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以煤炭、火电、冶金、建材、化工、焦化等高碳排放行业为重点，推广应用先进工艺和低碳技术，提高能效，有效控制工业领域温室气体排放</w:t>
                  </w:r>
                </w:p>
              </w:tc>
              <w:tc>
                <w:tcPr>
                  <w:tcW w:w="2080" w:type="dxa"/>
                  <w:gridSpan w:val="2"/>
                  <w:tcBorders>
                    <w:tl2br w:val="nil"/>
                    <w:tr2bl w:val="nil"/>
                  </w:tcBorders>
                  <w:vAlign w:val="center"/>
                </w:tcPr>
                <w:p w14:paraId="4EFF483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本项目</w:t>
                  </w:r>
                  <w:r>
                    <w:rPr>
                      <w:rFonts w:hint="eastAsia"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lang w:eastAsia="zh-CN"/>
                    </w:rPr>
                    <w:t>高碳排放</w:t>
                  </w:r>
                </w:p>
              </w:tc>
              <w:tc>
                <w:tcPr>
                  <w:tcW w:w="708" w:type="dxa"/>
                  <w:tcBorders>
                    <w:tl2br w:val="nil"/>
                    <w:tr2bl w:val="nil"/>
                  </w:tcBorders>
                  <w:vAlign w:val="center"/>
                </w:tcPr>
                <w:p w14:paraId="7B0AD69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14:paraId="55B36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74F85C7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restart"/>
                  <w:tcBorders>
                    <w:tl2br w:val="nil"/>
                    <w:tr2bl w:val="nil"/>
                  </w:tcBorders>
                  <w:vAlign w:val="center"/>
                </w:tcPr>
                <w:p w14:paraId="474E078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土地资源利用</w:t>
                  </w:r>
                </w:p>
              </w:tc>
              <w:tc>
                <w:tcPr>
                  <w:tcW w:w="3854" w:type="dxa"/>
                  <w:tcBorders>
                    <w:tl2br w:val="nil"/>
                    <w:tr2bl w:val="nil"/>
                  </w:tcBorders>
                  <w:vAlign w:val="center"/>
                </w:tcPr>
                <w:p w14:paraId="10B8D72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土地资源利用上线严格落实“十四五”相关目标指标</w:t>
                  </w:r>
                </w:p>
              </w:tc>
              <w:tc>
                <w:tcPr>
                  <w:tcW w:w="2080" w:type="dxa"/>
                  <w:gridSpan w:val="2"/>
                  <w:tcBorders>
                    <w:tl2br w:val="nil"/>
                    <w:tr2bl w:val="nil"/>
                  </w:tcBorders>
                  <w:vAlign w:val="center"/>
                </w:tcPr>
                <w:p w14:paraId="7CB4E28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本项目在原有工矿用地范围内建设</w:t>
                  </w:r>
                  <w:r>
                    <w:rPr>
                      <w:rFonts w:hint="eastAsia" w:ascii="Times New Roman" w:hAnsi="Times New Roman" w:eastAsia="宋体" w:cs="Times New Roman"/>
                      <w:color w:val="auto"/>
                      <w:sz w:val="21"/>
                      <w:szCs w:val="21"/>
                      <w:lang w:val="en-US" w:eastAsia="zh-CN"/>
                    </w:rPr>
                    <w:t>，不新增用地</w:t>
                  </w:r>
                </w:p>
              </w:tc>
              <w:tc>
                <w:tcPr>
                  <w:tcW w:w="708" w:type="dxa"/>
                  <w:tcBorders>
                    <w:tl2br w:val="nil"/>
                    <w:tr2bl w:val="nil"/>
                  </w:tcBorders>
                  <w:vAlign w:val="center"/>
                </w:tcPr>
                <w:p w14:paraId="273998F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651C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3D2E339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0EED9BB5">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74F8E9CE">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严格耕地和城镇建设用地总量控制，确保耕地占补平衡，严格建设用地规模控制，落实“增存挂钩”制度，持续加大批而未供和闲置土地处置力度，推进盘活存量建设用地，进一步提高土地利用效率</w:t>
                  </w:r>
                </w:p>
              </w:tc>
              <w:tc>
                <w:tcPr>
                  <w:tcW w:w="2080" w:type="dxa"/>
                  <w:gridSpan w:val="2"/>
                  <w:tcBorders>
                    <w:tl2br w:val="nil"/>
                    <w:tr2bl w:val="nil"/>
                  </w:tcBorders>
                  <w:vAlign w:val="center"/>
                </w:tcPr>
                <w:p w14:paraId="3496F982">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不占用耕地</w:t>
                  </w:r>
                </w:p>
              </w:tc>
              <w:tc>
                <w:tcPr>
                  <w:tcW w:w="708" w:type="dxa"/>
                  <w:tcBorders>
                    <w:tl2br w:val="nil"/>
                    <w:tr2bl w:val="nil"/>
                  </w:tcBorders>
                  <w:vAlign w:val="center"/>
                </w:tcPr>
                <w:p w14:paraId="75CDB3E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3916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7FBFFD5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4AF7E83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796F9443">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提高矿产资源开发保护水平，落实资源价格形成机制，加快发展固废综合利用产业，提高资源综合利用效率。深入开展生活垃圾分类，加快构建废旧物资循环利用体系，推进“无废城市”建设</w:t>
                  </w:r>
                </w:p>
              </w:tc>
              <w:tc>
                <w:tcPr>
                  <w:tcW w:w="2080" w:type="dxa"/>
                  <w:gridSpan w:val="2"/>
                  <w:tcBorders>
                    <w:tl2br w:val="nil"/>
                    <w:tr2bl w:val="nil"/>
                  </w:tcBorders>
                  <w:vAlign w:val="center"/>
                </w:tcPr>
                <w:p w14:paraId="33E6506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4D0384A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p>
              </w:tc>
            </w:tr>
            <w:tr w14:paraId="78671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dxa"/>
                  <w:vMerge w:val="continue"/>
                  <w:tcBorders>
                    <w:tl2br w:val="nil"/>
                    <w:tr2bl w:val="nil"/>
                  </w:tcBorders>
                  <w:vAlign w:val="center"/>
                </w:tcPr>
                <w:p w14:paraId="7CAAC2E1">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287" w:type="dxa"/>
                  <w:gridSpan w:val="2"/>
                  <w:vMerge w:val="continue"/>
                  <w:tcBorders>
                    <w:tl2br w:val="nil"/>
                    <w:tr2bl w:val="nil"/>
                  </w:tcBorders>
                  <w:vAlign w:val="center"/>
                </w:tcPr>
                <w:p w14:paraId="6E070FC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rPr>
                  </w:pPr>
                </w:p>
              </w:tc>
              <w:tc>
                <w:tcPr>
                  <w:tcW w:w="3854" w:type="dxa"/>
                  <w:tcBorders>
                    <w:tl2br w:val="nil"/>
                    <w:tr2bl w:val="nil"/>
                  </w:tcBorders>
                  <w:vAlign w:val="center"/>
                </w:tcPr>
                <w:p w14:paraId="569924B6">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(疑似)污染地块再开发利用，必须开展土壤环境调查评估：未开展土壤环境调查评估或经评估对人体健康有严重影响的，未经治理修复或治理修复后仍不符合相应规划用地土壤环境要求的，不得纳入用地程序</w:t>
                  </w:r>
                </w:p>
              </w:tc>
              <w:tc>
                <w:tcPr>
                  <w:tcW w:w="2080" w:type="dxa"/>
                  <w:gridSpan w:val="2"/>
                  <w:tcBorders>
                    <w:tl2br w:val="nil"/>
                    <w:tr2bl w:val="nil"/>
                  </w:tcBorders>
                  <w:vAlign w:val="center"/>
                </w:tcPr>
                <w:p w14:paraId="7618DBAC">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c>
                <w:tcPr>
                  <w:tcW w:w="708" w:type="dxa"/>
                  <w:tcBorders>
                    <w:tl2br w:val="nil"/>
                    <w:tr2bl w:val="nil"/>
                  </w:tcBorders>
                  <w:vAlign w:val="center"/>
                </w:tcPr>
                <w:p w14:paraId="570994FD">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r>
            <w:tr w14:paraId="4C3A5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4" w:type="dxa"/>
                  <w:gridSpan w:val="7"/>
                  <w:tcBorders>
                    <w:tl2br w:val="nil"/>
                    <w:tr2bl w:val="nil"/>
                  </w:tcBorders>
                  <w:vAlign w:val="center"/>
                </w:tcPr>
                <w:p w14:paraId="5A2338D9">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长治市浊漳河流域生态环境准入要求</w:t>
                  </w:r>
                </w:p>
              </w:tc>
            </w:tr>
            <w:tr w14:paraId="4F2F2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4236FA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kern w:val="0"/>
                      <w:sz w:val="21"/>
                      <w:highlight w:val="none"/>
                      <w:lang w:val="en-US" w:eastAsia="zh-CN"/>
                    </w:rPr>
                    <w:t>空间布局约束</w:t>
                  </w:r>
                </w:p>
              </w:tc>
              <w:tc>
                <w:tcPr>
                  <w:tcW w:w="3854" w:type="dxa"/>
                  <w:tcBorders>
                    <w:tl2br w:val="nil"/>
                    <w:tr2bl w:val="nil"/>
                  </w:tcBorders>
                  <w:vAlign w:val="center"/>
                </w:tcPr>
                <w:p w14:paraId="39BD92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1.浊漳河干流及主要支流沿岸禁止新建焦化、化工、农药、有色冶炼、造纸、电镀等高风险项目和危险化学品仓储设施。</w:t>
                  </w:r>
                </w:p>
                <w:p w14:paraId="208AB3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2.漳泽湖生态保护与修复区域，严禁新改扩建焦化、钢铁、化工、有色金属冶炼、水泥等污染较重项目，以及危险化学品贮存、处理处置等高风险项目。</w:t>
                  </w:r>
                </w:p>
              </w:tc>
              <w:tc>
                <w:tcPr>
                  <w:tcW w:w="2080" w:type="dxa"/>
                  <w:gridSpan w:val="2"/>
                  <w:tcBorders>
                    <w:tl2br w:val="nil"/>
                    <w:tr2bl w:val="nil"/>
                  </w:tcBorders>
                  <w:vAlign w:val="center"/>
                </w:tcPr>
                <w:p w14:paraId="7C3ED9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color w:val="auto"/>
                      <w:kern w:val="0"/>
                      <w:sz w:val="21"/>
                      <w:highlight w:val="none"/>
                      <w:lang w:val="en-US" w:eastAsia="zh-CN"/>
                    </w:rPr>
                    <w:t>本项目为</w:t>
                  </w:r>
                  <w:r>
                    <w:rPr>
                      <w:rFonts w:hint="eastAsia" w:ascii="Times New Roman" w:hAnsi="Times New Roman" w:eastAsia="宋体" w:cs="Times New Roman"/>
                      <w:b w:val="0"/>
                      <w:bCs/>
                      <w:color w:val="auto"/>
                      <w:kern w:val="0"/>
                      <w:sz w:val="21"/>
                      <w:highlight w:val="none"/>
                      <w:lang w:val="en-US" w:eastAsia="zh-CN"/>
                    </w:rPr>
                    <w:t>石灰深加工项目</w:t>
                  </w:r>
                  <w:r>
                    <w:rPr>
                      <w:rFonts w:hint="default" w:ascii="Times New Roman" w:hAnsi="Times New Roman" w:eastAsia="宋体" w:cs="Times New Roman"/>
                      <w:b w:val="0"/>
                      <w:bCs/>
                      <w:color w:val="auto"/>
                      <w:kern w:val="0"/>
                      <w:sz w:val="21"/>
                      <w:highlight w:val="none"/>
                      <w:lang w:val="en-US" w:eastAsia="zh-CN"/>
                    </w:rPr>
                    <w:t>，项目周边无浊漳河干流及主要支流</w:t>
                  </w:r>
                </w:p>
              </w:tc>
              <w:tc>
                <w:tcPr>
                  <w:tcW w:w="708" w:type="dxa"/>
                  <w:tcBorders>
                    <w:tl2br w:val="nil"/>
                    <w:tr2bl w:val="nil"/>
                  </w:tcBorders>
                  <w:vAlign w:val="center"/>
                </w:tcPr>
                <w:p w14:paraId="5F043B18">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6B16E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013A03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kern w:val="0"/>
                      <w:sz w:val="21"/>
                      <w:highlight w:val="none"/>
                      <w:lang w:val="en-US" w:eastAsia="zh-CN"/>
                    </w:rPr>
                    <w:t>污染物排放管控</w:t>
                  </w:r>
                </w:p>
              </w:tc>
              <w:tc>
                <w:tcPr>
                  <w:tcW w:w="3854" w:type="dxa"/>
                  <w:tcBorders>
                    <w:tl2br w:val="nil"/>
                    <w:tr2bl w:val="nil"/>
                  </w:tcBorders>
                  <w:vAlign w:val="center"/>
                </w:tcPr>
                <w:p w14:paraId="38F460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1.污染物排放总量严格落实“十四五”相关目标指标。</w:t>
                  </w:r>
                </w:p>
                <w:p w14:paraId="55610C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2.浊漳河流域内所有县界城镇入河排污口水质应当达到地表水环境质量V类及以上标准。禁止在浊漳河源头区域内倾倒垃圾。</w:t>
                  </w:r>
                </w:p>
                <w:p w14:paraId="32FC73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3.加强水功能限值纳污红线管理，严格控制入河湖排污总量。</w:t>
                  </w:r>
                </w:p>
              </w:tc>
              <w:tc>
                <w:tcPr>
                  <w:tcW w:w="2080" w:type="dxa"/>
                  <w:gridSpan w:val="2"/>
                  <w:tcBorders>
                    <w:tl2br w:val="nil"/>
                    <w:tr2bl w:val="nil"/>
                  </w:tcBorders>
                  <w:vAlign w:val="center"/>
                </w:tcPr>
                <w:p w14:paraId="1F338C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1.本项目总量</w:t>
                  </w:r>
                  <w:r>
                    <w:rPr>
                      <w:rFonts w:hint="eastAsia" w:ascii="Times New Roman" w:hAnsi="Times New Roman" w:eastAsia="宋体" w:cs="Times New Roman"/>
                      <w:b w:val="0"/>
                      <w:bCs/>
                      <w:color w:val="auto"/>
                      <w:kern w:val="0"/>
                      <w:sz w:val="21"/>
                      <w:highlight w:val="none"/>
                      <w:lang w:val="en-US" w:eastAsia="zh-CN"/>
                    </w:rPr>
                    <w:t>满足</w:t>
                  </w:r>
                  <w:r>
                    <w:rPr>
                      <w:rFonts w:hint="default" w:ascii="Times New Roman" w:hAnsi="Times New Roman" w:eastAsia="宋体" w:cs="Times New Roman"/>
                      <w:b w:val="0"/>
                      <w:bCs/>
                      <w:color w:val="auto"/>
                      <w:kern w:val="0"/>
                      <w:sz w:val="21"/>
                      <w:highlight w:val="none"/>
                      <w:lang w:val="en-US" w:eastAsia="zh-CN"/>
                    </w:rPr>
                    <w:t>控制指标</w:t>
                  </w:r>
                </w:p>
                <w:p w14:paraId="695A63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2.本项目废水不外排，本评价要求不在</w:t>
                  </w:r>
                  <w:r>
                    <w:rPr>
                      <w:rFonts w:hint="eastAsia" w:ascii="Times New Roman" w:hAnsi="Times New Roman" w:eastAsia="宋体" w:cs="Times New Roman"/>
                      <w:b w:val="0"/>
                      <w:bCs/>
                      <w:color w:val="auto"/>
                      <w:kern w:val="0"/>
                      <w:sz w:val="21"/>
                      <w:highlight w:val="none"/>
                      <w:lang w:val="en-US" w:eastAsia="zh-CN"/>
                    </w:rPr>
                    <w:t>浊漳河</w:t>
                  </w:r>
                  <w:r>
                    <w:rPr>
                      <w:rFonts w:hint="default" w:ascii="Times New Roman" w:hAnsi="Times New Roman" w:eastAsia="宋体" w:cs="Times New Roman"/>
                      <w:b w:val="0"/>
                      <w:bCs/>
                      <w:color w:val="auto"/>
                      <w:kern w:val="0"/>
                      <w:sz w:val="21"/>
                      <w:highlight w:val="none"/>
                      <w:lang w:val="en-US" w:eastAsia="zh-CN"/>
                    </w:rPr>
                    <w:t>源头区域内倾倒垃圾</w:t>
                  </w:r>
                </w:p>
                <w:p w14:paraId="1B85CE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3.本项目废水不外排，不涉及河湖排污总量。</w:t>
                  </w:r>
                </w:p>
              </w:tc>
              <w:tc>
                <w:tcPr>
                  <w:tcW w:w="708" w:type="dxa"/>
                  <w:tcBorders>
                    <w:tl2br w:val="nil"/>
                    <w:tr2bl w:val="nil"/>
                  </w:tcBorders>
                  <w:vAlign w:val="center"/>
                </w:tcPr>
                <w:p w14:paraId="4AEE0624">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69E80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544AF0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kern w:val="0"/>
                      <w:sz w:val="21"/>
                      <w:highlight w:val="none"/>
                      <w:lang w:val="en-US" w:eastAsia="zh-CN"/>
                    </w:rPr>
                    <w:t>环境风险管控</w:t>
                  </w:r>
                </w:p>
              </w:tc>
              <w:tc>
                <w:tcPr>
                  <w:tcW w:w="3854" w:type="dxa"/>
                  <w:tcBorders>
                    <w:tl2br w:val="nil"/>
                    <w:tr2bl w:val="nil"/>
                  </w:tcBorders>
                  <w:vAlign w:val="center"/>
                </w:tcPr>
                <w:p w14:paraId="08F7F7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加强浊漳河流域水环境风险防控工作，确定重点水环境风险源清单，建立应急物资储备库及保障机制。</w:t>
                  </w:r>
                </w:p>
              </w:tc>
              <w:tc>
                <w:tcPr>
                  <w:tcW w:w="2080" w:type="dxa"/>
                  <w:gridSpan w:val="2"/>
                  <w:tcBorders>
                    <w:tl2br w:val="nil"/>
                    <w:tr2bl w:val="nil"/>
                  </w:tcBorders>
                  <w:vAlign w:val="center"/>
                </w:tcPr>
                <w:p w14:paraId="36BFCD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eastAsia="zh-CN"/>
                    </w:rPr>
                    <w:t>本项目废水不外排，且已要求企业设置突发环境事件应急预案，设置应急物资库及保障措施</w:t>
                  </w:r>
                </w:p>
              </w:tc>
              <w:tc>
                <w:tcPr>
                  <w:tcW w:w="708" w:type="dxa"/>
                  <w:tcBorders>
                    <w:tl2br w:val="nil"/>
                    <w:tr2bl w:val="nil"/>
                  </w:tcBorders>
                  <w:vAlign w:val="center"/>
                </w:tcPr>
                <w:p w14:paraId="182E43BF">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48E2F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dxa"/>
                  <w:gridSpan w:val="3"/>
                  <w:tcBorders>
                    <w:tl2br w:val="nil"/>
                    <w:tr2bl w:val="nil"/>
                  </w:tcBorders>
                  <w:vAlign w:val="center"/>
                </w:tcPr>
                <w:p w14:paraId="2D89DB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kern w:val="0"/>
                      <w:sz w:val="21"/>
                      <w:highlight w:val="none"/>
                      <w:lang w:val="en-US" w:eastAsia="zh-CN"/>
                    </w:rPr>
                    <w:t>资源利用效率</w:t>
                  </w:r>
                </w:p>
              </w:tc>
              <w:tc>
                <w:tcPr>
                  <w:tcW w:w="3854" w:type="dxa"/>
                  <w:tcBorders>
                    <w:tl2br w:val="nil"/>
                    <w:tr2bl w:val="nil"/>
                  </w:tcBorders>
                  <w:vAlign w:val="center"/>
                </w:tcPr>
                <w:p w14:paraId="59B8F1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1.水资源利用上线严格落实“十四五”相关目标指标。</w:t>
                  </w:r>
                </w:p>
                <w:p w14:paraId="409C23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2.实施农业节水增效、工业节水减排、城镇节水降损，推进海绵城市建设，加强尾水资源利用。</w:t>
                  </w:r>
                </w:p>
                <w:p w14:paraId="14E6D8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3.加强用水效率控制红线管理，全面推进节水型社会建设，通过节水改造、价格调节等措施，促进城乡节约用水。</w:t>
                  </w:r>
                </w:p>
              </w:tc>
              <w:tc>
                <w:tcPr>
                  <w:tcW w:w="2080" w:type="dxa"/>
                  <w:gridSpan w:val="2"/>
                  <w:tcBorders>
                    <w:tl2br w:val="nil"/>
                    <w:tr2bl w:val="nil"/>
                  </w:tcBorders>
                  <w:vAlign w:val="center"/>
                </w:tcPr>
                <w:p w14:paraId="0F12C6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1.本项目水资源利用较少，满足“十四五”相关目标指标</w:t>
                  </w:r>
                </w:p>
                <w:p w14:paraId="16B2BA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2.本项目废水全部回用，满足节水减排要求</w:t>
                  </w:r>
                </w:p>
                <w:p w14:paraId="5A8E11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3.本项目用水量较少，废水全部回用，满足节约用水要求</w:t>
                  </w:r>
                </w:p>
              </w:tc>
              <w:tc>
                <w:tcPr>
                  <w:tcW w:w="708" w:type="dxa"/>
                  <w:tcBorders>
                    <w:tl2br w:val="nil"/>
                    <w:tr2bl w:val="nil"/>
                  </w:tcBorders>
                  <w:vAlign w:val="center"/>
                </w:tcPr>
                <w:p w14:paraId="1BC76C8B">
                  <w:pPr>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0FDBB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4" w:type="dxa"/>
                  <w:gridSpan w:val="7"/>
                  <w:tcBorders>
                    <w:tl2br w:val="nil"/>
                    <w:tr2bl w:val="nil"/>
                  </w:tcBorders>
                  <w:vAlign w:val="center"/>
                </w:tcPr>
                <w:p w14:paraId="47F8F0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highlight w:val="none"/>
                      <w:lang w:val="en-US" w:eastAsia="zh-CN"/>
                    </w:rPr>
                    <w:t>长治市辛安泉域生态环境准入要求</w:t>
                  </w:r>
                </w:p>
              </w:tc>
            </w:tr>
            <w:tr w14:paraId="638CE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9" w:type="dxa"/>
                  <w:gridSpan w:val="2"/>
                  <w:tcBorders>
                    <w:tl2br w:val="nil"/>
                    <w:tr2bl w:val="nil"/>
                  </w:tcBorders>
                  <w:vAlign w:val="center"/>
                </w:tcPr>
                <w:p w14:paraId="09A489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空间布局约束</w:t>
                  </w:r>
                </w:p>
              </w:tc>
              <w:tc>
                <w:tcPr>
                  <w:tcW w:w="3857" w:type="dxa"/>
                  <w:gridSpan w:val="2"/>
                  <w:tcBorders>
                    <w:tl2br w:val="nil"/>
                    <w:tr2bl w:val="nil"/>
                  </w:tcBorders>
                  <w:vAlign w:val="center"/>
                </w:tcPr>
                <w:p w14:paraId="775C43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1.泉域的重点保护区内禁止在泉水出露带进行采煤、开矿、开山采石和兴建地下工程，新建和保护水源无关的建设项目；重点保护区以外的泉域范围内严格控制兴建耗水量大或对水资源有</w:t>
                  </w:r>
                </w:p>
                <w:p w14:paraId="797FA5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2.辛安泉饮用水水源地一级保护区内禁止新建、改建、扩建与供水设施、防洪设施和保护水</w:t>
                  </w:r>
                </w:p>
                <w:p w14:paraId="52A24F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3.辛安泉饮用水水源地二级保护区内禁止新建、改建、扩建炼焦、化工、炼油、冶炼、电钥染、染料、放射性以及其他排放污染物的建设项目；禁止建设畜禽养殖场、养殖小区；禁止建迟溶、有毒有害废弃物集中贮存、处置的设施、场所和生活垃圾填埋场、转运站。</w:t>
                  </w:r>
                </w:p>
                <w:p w14:paraId="079D76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4.辛安泉饮用水水源地准保护区范围内禁止新建、扩建对水体污染严重的建设项目。</w:t>
                  </w:r>
                </w:p>
              </w:tc>
              <w:tc>
                <w:tcPr>
                  <w:tcW w:w="2077" w:type="dxa"/>
                  <w:tcBorders>
                    <w:tl2br w:val="nil"/>
                    <w:tr2bl w:val="nil"/>
                  </w:tcBorders>
                  <w:vAlign w:val="center"/>
                </w:tcPr>
                <w:p w14:paraId="6AF400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1.本项目不位于重点保护区，位置关系图见附图</w:t>
                  </w:r>
                  <w:r>
                    <w:rPr>
                      <w:rFonts w:hint="eastAsia" w:ascii="Times New Roman" w:hAnsi="Times New Roman" w:eastAsia="宋体" w:cs="Times New Roman"/>
                      <w:b w:val="0"/>
                      <w:bCs/>
                      <w:color w:val="auto"/>
                      <w:kern w:val="0"/>
                      <w:sz w:val="21"/>
                      <w:highlight w:val="none"/>
                      <w:lang w:val="en-US" w:eastAsia="zh-CN"/>
                    </w:rPr>
                    <w:t>8、9</w:t>
                  </w:r>
                </w:p>
                <w:p w14:paraId="264EDE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2.本项目不属于炼焦、化工、炼油、冶炼、电钥染、染料、放射性以及其他排放污染物的建设项目，不建设养殖业且不为有毒有害废弃物集中贮存、处置的设施、场所和生活垃圾填埋场、转运站</w:t>
                  </w:r>
                </w:p>
                <w:p w14:paraId="593E06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3.本项目废水不外排</w:t>
                  </w:r>
                </w:p>
              </w:tc>
              <w:tc>
                <w:tcPr>
                  <w:tcW w:w="711" w:type="dxa"/>
                  <w:gridSpan w:val="2"/>
                  <w:tcBorders>
                    <w:tl2br w:val="nil"/>
                    <w:tr2bl w:val="nil"/>
                  </w:tcBorders>
                  <w:vAlign w:val="center"/>
                </w:tcPr>
                <w:p w14:paraId="56E352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15E40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9" w:type="dxa"/>
                  <w:gridSpan w:val="2"/>
                  <w:tcBorders>
                    <w:tl2br w:val="nil"/>
                    <w:tr2bl w:val="nil"/>
                  </w:tcBorders>
                  <w:vAlign w:val="center"/>
                </w:tcPr>
                <w:p w14:paraId="3ECD7D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污染物排放管控</w:t>
                  </w:r>
                </w:p>
              </w:tc>
              <w:tc>
                <w:tcPr>
                  <w:tcW w:w="3857" w:type="dxa"/>
                  <w:gridSpan w:val="2"/>
                  <w:tcBorders>
                    <w:tl2br w:val="nil"/>
                    <w:tr2bl w:val="nil"/>
                  </w:tcBorders>
                  <w:vAlign w:val="center"/>
                </w:tcPr>
                <w:p w14:paraId="7C2F89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泉域的重点保护区内禁止将已污染含水层与未污染含水层的地下水混合开采，禁止倾倒、垃圾、污水及其他废弃物：重点保护区以外的泉域范围内不得利用渗坑、渗井、溶洞、废弃钻子活污水，倾倒污物、废渣和城市生活垃圾。</w:t>
                  </w:r>
                </w:p>
                <w:p w14:paraId="0B8084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2.辛安泉饮用水水源地一级保护区内禁止倾倒、堆放工业废渣、废液、垃圾、粪便、油类事网箱养殖、旅游、游泳、垂钓、水上训练或者其他可能污染饮用水水体的活动。</w:t>
                  </w:r>
                </w:p>
              </w:tc>
              <w:tc>
                <w:tcPr>
                  <w:tcW w:w="2077" w:type="dxa"/>
                  <w:tcBorders>
                    <w:tl2br w:val="nil"/>
                    <w:tr2bl w:val="nil"/>
                  </w:tcBorders>
                  <w:vAlign w:val="center"/>
                </w:tcPr>
                <w:p w14:paraId="1D1875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本项目不位于重点保护区，位置关系图见附图</w:t>
                  </w:r>
                  <w:r>
                    <w:rPr>
                      <w:rFonts w:hint="eastAsia" w:ascii="Times New Roman" w:hAnsi="Times New Roman" w:eastAsia="宋体" w:cs="Times New Roman"/>
                      <w:b w:val="0"/>
                      <w:bCs/>
                      <w:color w:val="auto"/>
                      <w:kern w:val="0"/>
                      <w:sz w:val="21"/>
                      <w:highlight w:val="none"/>
                      <w:lang w:val="en-US" w:eastAsia="zh-CN"/>
                    </w:rPr>
                    <w:t>8、9</w:t>
                  </w:r>
                </w:p>
              </w:tc>
              <w:tc>
                <w:tcPr>
                  <w:tcW w:w="711" w:type="dxa"/>
                  <w:gridSpan w:val="2"/>
                  <w:tcBorders>
                    <w:tl2br w:val="nil"/>
                    <w:tr2bl w:val="nil"/>
                  </w:tcBorders>
                  <w:vAlign w:val="center"/>
                </w:tcPr>
                <w:p w14:paraId="35D823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453F8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9" w:type="dxa"/>
                  <w:gridSpan w:val="2"/>
                  <w:tcBorders>
                    <w:tl2br w:val="nil"/>
                    <w:tr2bl w:val="nil"/>
                  </w:tcBorders>
                  <w:vAlign w:val="center"/>
                </w:tcPr>
                <w:p w14:paraId="1AB927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环境风险管控</w:t>
                  </w:r>
                </w:p>
              </w:tc>
              <w:tc>
                <w:tcPr>
                  <w:tcW w:w="3857" w:type="dxa"/>
                  <w:gridSpan w:val="2"/>
                  <w:tcBorders>
                    <w:tl2br w:val="nil"/>
                    <w:tr2bl w:val="nil"/>
                  </w:tcBorders>
                  <w:vAlign w:val="center"/>
                </w:tcPr>
                <w:p w14:paraId="744DFD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泉域范围内，石化生产、存贮、销售企业以及工业园区、矿山开采区、矿山渣场、垃圾填埋场以及危险废物堆放场等的营运、管理单位应当进行必要的防渗处理。报废矿井、钻井以及取水井应当实施封井回填。</w:t>
                  </w:r>
                </w:p>
              </w:tc>
              <w:tc>
                <w:tcPr>
                  <w:tcW w:w="2077" w:type="dxa"/>
                  <w:tcBorders>
                    <w:tl2br w:val="nil"/>
                    <w:tr2bl w:val="nil"/>
                  </w:tcBorders>
                  <w:vAlign w:val="center"/>
                </w:tcPr>
                <w:p w14:paraId="388A8A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eastAsia" w:ascii="Times New Roman" w:hAnsi="Times New Roman" w:eastAsia="宋体" w:cs="Times New Roman"/>
                      <w:color w:val="auto"/>
                      <w:sz w:val="21"/>
                      <w:szCs w:val="21"/>
                      <w:lang w:val="en-US" w:eastAsia="zh-CN"/>
                    </w:rPr>
                    <w:t>已设置防渗措施</w:t>
                  </w:r>
                </w:p>
              </w:tc>
              <w:tc>
                <w:tcPr>
                  <w:tcW w:w="711" w:type="dxa"/>
                  <w:gridSpan w:val="2"/>
                  <w:tcBorders>
                    <w:tl2br w:val="nil"/>
                    <w:tr2bl w:val="nil"/>
                  </w:tcBorders>
                  <w:vAlign w:val="center"/>
                </w:tcPr>
                <w:p w14:paraId="4673DE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r w14:paraId="4ACAC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9" w:type="dxa"/>
                  <w:gridSpan w:val="2"/>
                  <w:tcBorders>
                    <w:tl2br w:val="nil"/>
                    <w:tr2bl w:val="nil"/>
                  </w:tcBorders>
                  <w:vAlign w:val="center"/>
                </w:tcPr>
                <w:p w14:paraId="68EB20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资源利用效率</w:t>
                  </w:r>
                </w:p>
              </w:tc>
              <w:tc>
                <w:tcPr>
                  <w:tcW w:w="3857" w:type="dxa"/>
                  <w:gridSpan w:val="2"/>
                  <w:tcBorders>
                    <w:tl2br w:val="nil"/>
                    <w:tr2bl w:val="nil"/>
                  </w:tcBorders>
                  <w:vAlign w:val="center"/>
                </w:tcPr>
                <w:p w14:paraId="220A42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1.泉域的重点保护区内禁止擅自打理开发孔隙裂隙地下水。</w:t>
                  </w:r>
                </w:p>
                <w:p w14:paraId="0403DE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2.泉域范围内，任何单位或者个人取用岩溶地下水，应当依法办理取水许可手续，严禁未经批准擅自取水；经批准取用辛安泉岩溶溶地下水的单位或者个人，应当依照取水许可规定的条件取水，不得超出核定的取水量，不得转供水。未经批准不得擅自改变取水用途，确需改变的，需经原批准机关审查同意；严格控制辛安泉岩溶地下水开采，实行区域限制许可制度，制定各县（区）岩溶水开采控制指标；对岩溶水取水量已达到或者超过控制指标的县（区），暂停新增岩溶水取水许可；对岩溶水取水量接近控制指标的县（区），限制新增岩溶水取水许可。</w:t>
                  </w:r>
                </w:p>
              </w:tc>
              <w:tc>
                <w:tcPr>
                  <w:tcW w:w="2077" w:type="dxa"/>
                  <w:tcBorders>
                    <w:tl2br w:val="nil"/>
                    <w:tr2bl w:val="nil"/>
                  </w:tcBorders>
                  <w:vAlign w:val="center"/>
                </w:tcPr>
                <w:p w14:paraId="060177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auto"/>
                      <w:kern w:val="0"/>
                      <w:sz w:val="21"/>
                      <w:highlight w:val="none"/>
                      <w:lang w:val="en-US" w:eastAsia="zh-CN"/>
                    </w:rPr>
                  </w:pPr>
                  <w:r>
                    <w:rPr>
                      <w:rFonts w:hint="default" w:ascii="Times New Roman" w:hAnsi="Times New Roman" w:eastAsia="宋体" w:cs="Times New Roman"/>
                      <w:b w:val="0"/>
                      <w:bCs/>
                      <w:color w:val="auto"/>
                      <w:kern w:val="0"/>
                      <w:sz w:val="21"/>
                      <w:highlight w:val="none"/>
                      <w:lang w:val="en-US" w:eastAsia="zh-CN"/>
                    </w:rPr>
                    <w:t>不位于重点保护区，且不开发孔隙裂隙地下水</w:t>
                  </w:r>
                </w:p>
              </w:tc>
              <w:tc>
                <w:tcPr>
                  <w:tcW w:w="711" w:type="dxa"/>
                  <w:gridSpan w:val="2"/>
                  <w:tcBorders>
                    <w:tl2br w:val="nil"/>
                    <w:tr2bl w:val="nil"/>
                  </w:tcBorders>
                  <w:vAlign w:val="center"/>
                </w:tcPr>
                <w:p w14:paraId="3DD6B2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符合</w:t>
                  </w:r>
                </w:p>
              </w:tc>
            </w:tr>
          </w:tbl>
          <w:p w14:paraId="15A63AD0">
            <w:pPr>
              <w:spacing w:line="360" w:lineRule="auto"/>
              <w:ind w:firstLine="480"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Cs/>
                <w:color w:val="auto"/>
                <w:sz w:val="24"/>
                <w:szCs w:val="32"/>
                <w:lang w:eastAsia="zh-CN"/>
              </w:rPr>
              <w:t>上表可知</w:t>
            </w:r>
            <w:r>
              <w:rPr>
                <w:rFonts w:ascii="Times New Roman" w:hAnsi="Times New Roman" w:eastAsia="宋体" w:cs="Times New Roman"/>
                <w:bCs/>
                <w:color w:val="auto"/>
                <w:sz w:val="24"/>
                <w:szCs w:val="32"/>
                <w:lang w:eastAsia="zh-CN"/>
              </w:rPr>
              <w:t>，项目的建设符合《</w:t>
            </w:r>
            <w:r>
              <w:rPr>
                <w:rFonts w:hint="eastAsia" w:ascii="Times New Roman" w:hAnsi="Times New Roman" w:eastAsia="宋体" w:cs="Times New Roman"/>
                <w:bCs/>
                <w:color w:val="auto"/>
                <w:sz w:val="24"/>
                <w:szCs w:val="32"/>
                <w:lang w:eastAsia="zh-CN"/>
              </w:rPr>
              <w:t>长治市人民政府关于印发长治市“三线一单”生态环境分区管控实施方案的通知</w:t>
            </w:r>
            <w:r>
              <w:rPr>
                <w:rFonts w:ascii="Times New Roman" w:hAnsi="Times New Roman" w:eastAsia="宋体" w:cs="Times New Roman"/>
                <w:bCs/>
                <w:color w:val="auto"/>
                <w:sz w:val="24"/>
                <w:szCs w:val="32"/>
                <w:lang w:eastAsia="zh-CN"/>
              </w:rPr>
              <w:t>》（长政发〔2021〕21号）的要求</w:t>
            </w:r>
            <w:r>
              <w:rPr>
                <w:rFonts w:hint="eastAsia" w:ascii="Times New Roman" w:hAnsi="Times New Roman" w:eastAsia="宋体" w:cs="Times New Roman"/>
                <w:bCs/>
                <w:color w:val="auto"/>
                <w:sz w:val="24"/>
                <w:szCs w:val="32"/>
                <w:lang w:eastAsia="zh-CN"/>
              </w:rPr>
              <w:t>。</w:t>
            </w:r>
          </w:p>
          <w:p w14:paraId="43946733">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1.5</w:t>
            </w:r>
            <w:r>
              <w:rPr>
                <w:rFonts w:hint="eastAsia" w:ascii="Times New Roman" w:hAnsi="Times New Roman" w:eastAsia="宋体" w:cs="Times New Roman"/>
                <w:b/>
                <w:bCs/>
                <w:color w:val="auto"/>
                <w:sz w:val="24"/>
                <w:szCs w:val="24"/>
                <w:lang w:eastAsia="zh-CN"/>
              </w:rPr>
              <w:t>辛安泉域</w:t>
            </w:r>
          </w:p>
          <w:p w14:paraId="63B0EB25">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辛安泉出露于潞城市西流村至平顺县北耽车长16km的浊漳河河谷中，可见泉点170余个。辛安村以上较大泉组有林滩泉、西流泉、苇泉、南流泉，称王曲泉群，出露高程615-643m，出露地层为奥陶系中统；辛安村以下有实会泉、车流泉等，多出露于寒武系中统，称实会泉群，标高600-6</w:t>
            </w:r>
            <w:r>
              <w:rPr>
                <w:rFonts w:hint="eastAsia" w:ascii="Times New Roman" w:hAnsi="Times New Roman" w:eastAsia="宋体" w:cs="Times New Roman"/>
                <w:color w:val="auto"/>
                <w:sz w:val="24"/>
                <w:lang w:eastAsia="zh-CN"/>
              </w:rPr>
              <w:t>18m</w:t>
            </w:r>
            <w:r>
              <w:rPr>
                <w:rFonts w:ascii="Times New Roman" w:hAnsi="Times New Roman" w:eastAsia="宋体" w:cs="Times New Roman"/>
                <w:color w:val="auto"/>
                <w:sz w:val="24"/>
                <w:lang w:eastAsia="zh-CN"/>
              </w:rPr>
              <w:t>。多年平均流量11.9m</w:t>
            </w:r>
            <w:r>
              <w:rPr>
                <w:rFonts w:ascii="Times New Roman" w:hAnsi="Times New Roman" w:eastAsia="宋体" w:cs="Times New Roman"/>
                <w:color w:val="auto"/>
                <w:sz w:val="24"/>
                <w:vertAlign w:val="superscript"/>
                <w:lang w:eastAsia="zh-CN"/>
              </w:rPr>
              <w:t>3</w:t>
            </w:r>
            <w:r>
              <w:rPr>
                <w:rFonts w:ascii="Times New Roman" w:hAnsi="Times New Roman" w:eastAsia="宋体" w:cs="Times New Roman"/>
                <w:color w:val="auto"/>
                <w:sz w:val="24"/>
                <w:lang w:eastAsia="zh-CN"/>
              </w:rPr>
              <w:t>/s。</w:t>
            </w:r>
          </w:p>
          <w:p w14:paraId="2B95E363">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泉域内岩溶地下水主要含水层为奥陶系中统石灰岩、泥灰岩、角砾状灰岩等，其次为寒武系中、上统石灰岩、白云质灰岩等。大气降水在碳酸盐岩裸露区的入渗是岩溶水主要补给来源，其次是灰岩区河段地表水及水库水的渗露补给。岩溶水总体上由南、西南、西北及北向排泄区汇流，在浊漳河河谷的西流北耽车一带以泉群形式集中排泄，为侵蚀、接触、溢流全排型泉。</w:t>
            </w:r>
          </w:p>
          <w:p w14:paraId="3E8BD37F">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1）泉域范围：</w:t>
            </w:r>
          </w:p>
          <w:p w14:paraId="0768A2FF">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北部及西部边界：泉域北部、西部在构造上处于沁水向斜核部，地表出露二叠、三叠系地层，寒武、奥陶系地层埋深千米以上，岩溶水呈封闭的滞流状态，此段以浊漳河与汾河及沁河的地表分水岭为泉域边界。自北向南由榆社县人头山—辉教北—子金山—分南南。西部沁县与沁源县行政边界，自北向南基本为自分南南—屯留县八泉—长子县良坪西。</w:t>
            </w:r>
          </w:p>
          <w:p w14:paraId="1E6F9187">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南部边界：为浊漳河和沁河与丹河的地表分水岭，自西向东基本为长治市与晋城市的行政边界，由老庄沟—色头镇南—金泉山—陵川西马安。</w:t>
            </w:r>
          </w:p>
          <w:p w14:paraId="4D1B99E2">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东部边界：东北段以清漳河与浊漳河地表分水岭及和神烟地下分水岭与辛安泉域为界。为晋中地区和顺县、左权县与榆社县、长治市武乡县的行政边界。自人头山—榆社红崖头东—左权申家咬。中段：受上遥背斜影响，东部寒武系下统及长城系非可溶岩形成隔水边界。自北向南由申家咬—黎城仟仵—上遥镇—洪井。南段：北端为辛安泉与河北省涉县东湖泉的地下分水岭，自北向南由黎城县洪井—东阳关镇—宋家庄；南端为北耽车以下浊漳河河谷一带寒武系下统及长城系非可溶岩地层分布，平顺县虹梯关、赵城一带燕山期闪长岩侵入体构成阻水边界，自北向南由宋家庄—阳高—虹梯关—东寺头—西安里北—西马安。</w:t>
            </w:r>
          </w:p>
          <w:p w14:paraId="42F337E0">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根据以上边界圈定泉域范围，总面积10950km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，包括长治市12个县（市、区），面积9430km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，晋中榆社县1520km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。其中碳酸盐岩裸露区面积2200km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，覆盖、埋藏区8750km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w:t>
            </w:r>
          </w:p>
          <w:p w14:paraId="330B11D4">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2）泉源重点保护区</w:t>
            </w:r>
          </w:p>
          <w:p w14:paraId="3182D001">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泉水集中出露带：以浊漳河为轴线，北起黎城县南赵店桥，顺浊漳河谷向下游，至平顺县北耽车，包括河谷两岸地带；西起山西化肥厂排污渠道，两侧宽200m，至辛安桥下河道，面积48km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w:t>
            </w:r>
          </w:p>
          <w:p w14:paraId="11787126">
            <w:pPr>
              <w:spacing w:line="360" w:lineRule="auto"/>
              <w:ind w:firstLine="480" w:firstLineChars="200"/>
              <w:jc w:val="both"/>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文王山地垒渗漏段：自黄碾南铁路桥上游500m起，顺浊漳河南源主河道，左右两侧各500m，向下游至与浊漳河西源汇流处，面积18km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。两处合计面积为66km</w:t>
            </w:r>
            <w:r>
              <w:rPr>
                <w:rFonts w:ascii="Times New Roman" w:hAnsi="Times New Roman" w:eastAsia="宋体" w:cs="Times New Roman"/>
                <w:color w:val="auto"/>
                <w:sz w:val="24"/>
                <w:vertAlign w:val="superscript"/>
                <w:lang w:eastAsia="zh-CN"/>
              </w:rPr>
              <w:t>2</w:t>
            </w:r>
            <w:r>
              <w:rPr>
                <w:rFonts w:ascii="Times New Roman" w:hAnsi="Times New Roman" w:eastAsia="宋体" w:cs="Times New Roman"/>
                <w:color w:val="auto"/>
                <w:sz w:val="24"/>
                <w:lang w:eastAsia="zh-CN"/>
              </w:rPr>
              <w:t>。</w:t>
            </w:r>
          </w:p>
          <w:p w14:paraId="0D57BD72">
            <w:pPr>
              <w:spacing w:line="360" w:lineRule="auto"/>
              <w:ind w:firstLine="480" w:firstLineChars="200"/>
              <w:jc w:val="both"/>
              <w:rPr>
                <w:rFonts w:ascii="Times New Roman" w:hAnsi="Times New Roman" w:eastAsia="宋体" w:cs="Times New Roman"/>
                <w:b/>
                <w:bCs/>
                <w:color w:val="auto"/>
                <w:sz w:val="24"/>
                <w:szCs w:val="24"/>
                <w:lang w:eastAsia="zh-CN"/>
              </w:rPr>
            </w:pPr>
            <w:r>
              <w:rPr>
                <w:rFonts w:ascii="Times New Roman" w:hAnsi="Times New Roman" w:eastAsia="宋体" w:cs="Times New Roman"/>
                <w:color w:val="auto"/>
                <w:sz w:val="24"/>
                <w:lang w:eastAsia="zh-CN"/>
              </w:rPr>
              <w:t>本项目不在辛安泉域</w:t>
            </w:r>
            <w:r>
              <w:rPr>
                <w:rFonts w:hint="eastAsia" w:ascii="Times New Roman" w:hAnsi="Times New Roman" w:eastAsia="宋体" w:cs="Times New Roman"/>
                <w:color w:val="auto"/>
                <w:sz w:val="24"/>
                <w:lang w:eastAsia="zh-CN"/>
              </w:rPr>
              <w:t>重点保护</w:t>
            </w:r>
            <w:r>
              <w:rPr>
                <w:rFonts w:ascii="Times New Roman" w:hAnsi="Times New Roman" w:eastAsia="宋体" w:cs="Times New Roman"/>
                <w:color w:val="auto"/>
                <w:sz w:val="24"/>
                <w:lang w:eastAsia="zh-CN"/>
              </w:rPr>
              <w:t>范围</w:t>
            </w:r>
            <w:r>
              <w:rPr>
                <w:rFonts w:hint="eastAsia" w:ascii="Times New Roman" w:hAnsi="Times New Roman" w:eastAsia="宋体" w:cs="Times New Roman"/>
                <w:color w:val="auto"/>
                <w:sz w:val="24"/>
                <w:lang w:val="en-US" w:eastAsia="zh-CN"/>
              </w:rPr>
              <w:t>内</w:t>
            </w:r>
            <w:r>
              <w:rPr>
                <w:rFonts w:ascii="Times New Roman" w:hAnsi="Times New Roman" w:eastAsia="宋体" w:cs="Times New Roman"/>
                <w:color w:val="auto"/>
                <w:sz w:val="24"/>
                <w:lang w:eastAsia="zh-CN"/>
              </w:rPr>
              <w:t>，距</w:t>
            </w:r>
            <w:r>
              <w:rPr>
                <w:rFonts w:hint="eastAsia" w:ascii="Times New Roman" w:hAnsi="Times New Roman" w:eastAsia="宋体" w:cs="Times New Roman"/>
                <w:color w:val="auto"/>
                <w:sz w:val="24"/>
                <w:lang w:eastAsia="zh-CN"/>
              </w:rPr>
              <w:t>重点保护</w:t>
            </w:r>
            <w:r>
              <w:rPr>
                <w:rFonts w:ascii="Times New Roman" w:hAnsi="Times New Roman" w:eastAsia="宋体" w:cs="Times New Roman"/>
                <w:color w:val="auto"/>
                <w:sz w:val="24"/>
                <w:lang w:eastAsia="zh-CN"/>
              </w:rPr>
              <w:t>范围约为</w:t>
            </w:r>
            <w:r>
              <w:rPr>
                <w:rFonts w:hint="eastAsia" w:ascii="Times New Roman" w:hAnsi="Times New Roman" w:eastAsia="宋体" w:cs="Times New Roman"/>
                <w:color w:val="auto"/>
                <w:sz w:val="24"/>
                <w:lang w:val="en-US" w:eastAsia="zh-CN"/>
              </w:rPr>
              <w:t>3km</w:t>
            </w:r>
            <w:r>
              <w:rPr>
                <w:rFonts w:hint="eastAsia" w:ascii="Times New Roman" w:hAnsi="Times New Roman" w:eastAsia="宋体" w:cs="Times New Roman"/>
                <w:color w:val="auto"/>
                <w:sz w:val="24"/>
                <w:lang w:eastAsia="zh-CN"/>
              </w:rPr>
              <w:t>（位置关系见</w:t>
            </w:r>
            <w:r>
              <w:rPr>
                <w:rFonts w:ascii="Times New Roman" w:hAnsi="Times New Roman" w:eastAsia="宋体" w:cs="Times New Roman"/>
                <w:color w:val="auto"/>
                <w:sz w:val="24"/>
                <w:lang w:eastAsia="zh-CN"/>
              </w:rPr>
              <w:t>附图</w:t>
            </w:r>
            <w:r>
              <w:rPr>
                <w:rFonts w:hint="eastAsia" w:ascii="Times New Roman" w:hAnsi="Times New Roman" w:eastAsia="宋体" w:cs="Times New Roman"/>
                <w:color w:val="auto"/>
                <w:sz w:val="24"/>
                <w:lang w:val="en-US" w:eastAsia="zh-CN"/>
              </w:rPr>
              <w:t>8、9</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本项目建成后废水不外排，</w:t>
            </w:r>
            <w:r>
              <w:rPr>
                <w:rFonts w:hint="eastAsia" w:ascii="Times New Roman" w:hAnsi="Times New Roman" w:eastAsia="宋体" w:cs="Times New Roman"/>
                <w:color w:val="auto"/>
                <w:sz w:val="24"/>
                <w:szCs w:val="24"/>
                <w:lang w:eastAsia="zh-CN"/>
              </w:rPr>
              <w:t>建成后</w:t>
            </w:r>
            <w:r>
              <w:rPr>
                <w:rFonts w:hint="eastAsia" w:ascii="Times New Roman" w:hAnsi="Times New Roman" w:eastAsia="宋体" w:cs="Times New Roman"/>
                <w:color w:val="auto"/>
                <w:sz w:val="24"/>
                <w:szCs w:val="24"/>
                <w:lang w:val="en-US" w:eastAsia="zh-CN"/>
              </w:rPr>
              <w:t>废气经采取环评措施后</w:t>
            </w:r>
            <w:r>
              <w:rPr>
                <w:rFonts w:hint="eastAsia" w:ascii="Times New Roman" w:hAnsi="Times New Roman" w:eastAsia="宋体" w:cs="Times New Roman"/>
                <w:color w:val="auto"/>
                <w:sz w:val="24"/>
                <w:szCs w:val="24"/>
                <w:lang w:eastAsia="zh-CN"/>
              </w:rPr>
              <w:t>对周边影响较小</w:t>
            </w:r>
            <w:r>
              <w:rPr>
                <w:rFonts w:hint="eastAsia" w:ascii="Times New Roman" w:hAnsi="Times New Roman" w:eastAsia="宋体" w:cs="Times New Roman"/>
                <w:color w:val="auto"/>
                <w:sz w:val="24"/>
                <w:lang w:eastAsia="zh-CN"/>
              </w:rPr>
              <w:t>，因此本项目建设对辛安泉域影响较小。</w:t>
            </w:r>
          </w:p>
          <w:p w14:paraId="3DDE6A3D">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1.6</w:t>
            </w:r>
            <w:r>
              <w:rPr>
                <w:rFonts w:ascii="Times New Roman" w:hAnsi="Times New Roman" w:eastAsia="宋体" w:cs="Times New Roman"/>
                <w:b/>
                <w:bCs/>
                <w:color w:val="auto"/>
                <w:sz w:val="24"/>
                <w:szCs w:val="24"/>
                <w:lang w:eastAsia="zh-CN"/>
              </w:rPr>
              <w:t>选址符合性分析</w:t>
            </w:r>
          </w:p>
          <w:p w14:paraId="2986418D">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ascii="Times New Roman" w:hAnsi="Times New Roman" w:eastAsia="宋体" w:cs="Times New Roman"/>
                <w:color w:val="auto"/>
                <w:sz w:val="24"/>
                <w:szCs w:val="24"/>
                <w:lang w:eastAsia="zh-CN"/>
              </w:rPr>
              <w:t>本项目为</w:t>
            </w:r>
            <w:r>
              <w:rPr>
                <w:rFonts w:hint="eastAsia" w:ascii="Times New Roman" w:hAnsi="Times New Roman" w:eastAsia="宋体" w:cs="Times New Roman"/>
                <w:color w:val="auto"/>
                <w:sz w:val="24"/>
                <w:szCs w:val="24"/>
                <w:lang w:eastAsia="zh-CN"/>
              </w:rPr>
              <w:t>石灰深加工项目</w:t>
            </w:r>
            <w:r>
              <w:rPr>
                <w:rFonts w:ascii="Times New Roman" w:hAnsi="Times New Roman" w:eastAsia="宋体" w:cs="Times New Roman"/>
                <w:color w:val="auto"/>
                <w:sz w:val="24"/>
                <w:szCs w:val="24"/>
                <w:lang w:eastAsia="zh-CN"/>
              </w:rPr>
              <w:t>，位于</w:t>
            </w:r>
            <w:r>
              <w:rPr>
                <w:rFonts w:hint="eastAsia" w:ascii="Times New Roman" w:hAnsi="Times New Roman" w:eastAsia="宋体" w:cs="Times New Roman"/>
                <w:color w:val="auto"/>
                <w:sz w:val="24"/>
                <w:szCs w:val="24"/>
                <w:lang w:eastAsia="zh-CN"/>
              </w:rPr>
              <w:t>山西省长治市潞城区史回镇闫李庄村东侧132m，</w:t>
            </w:r>
            <w:r>
              <w:rPr>
                <w:rFonts w:hint="eastAsia" w:ascii="Times New Roman" w:hAnsi="Times New Roman" w:eastAsia="宋体" w:cs="Times New Roman"/>
                <w:color w:val="auto"/>
                <w:sz w:val="24"/>
                <w:szCs w:val="24"/>
                <w:lang w:val="en-US" w:eastAsia="zh-CN"/>
              </w:rPr>
              <w:t>本项目在原有工矿用地范围内建设，不新增用地</w:t>
            </w:r>
            <w:r>
              <w:rPr>
                <w:rFonts w:hint="eastAsia" w:ascii="Times New Roman" w:hAnsi="Times New Roman" w:eastAsia="宋体" w:cs="Times New Roman"/>
                <w:color w:val="auto"/>
                <w:sz w:val="24"/>
                <w:szCs w:val="24"/>
                <w:lang w:eastAsia="zh-CN"/>
              </w:rPr>
              <w:t>，根据山东新晨测绘科技有限公司</w:t>
            </w:r>
            <w:r>
              <w:rPr>
                <w:rFonts w:hint="eastAsia" w:ascii="Times New Roman" w:hAnsi="Times New Roman" w:eastAsia="宋体" w:cs="Times New Roman"/>
                <w:color w:val="auto"/>
                <w:sz w:val="24"/>
                <w:szCs w:val="24"/>
                <w:lang w:val="en-US" w:eastAsia="zh-CN"/>
              </w:rPr>
              <w:t>出具的土地勘测定界技术报告书，用地性质为</w:t>
            </w:r>
            <w:r>
              <w:rPr>
                <w:rFonts w:hint="eastAsia" w:ascii="Times New Roman" w:hAnsi="Times New Roman" w:eastAsia="宋体" w:cs="Times New Roman"/>
                <w:color w:val="auto"/>
                <w:sz w:val="24"/>
                <w:szCs w:val="24"/>
                <w:highlight w:val="none"/>
                <w:lang w:val="en-US" w:eastAsia="zh-CN"/>
              </w:rPr>
              <w:t>工矿用地</w:t>
            </w:r>
            <w:r>
              <w:rPr>
                <w:rFonts w:hint="eastAsia" w:ascii="Times New Roman" w:hAnsi="Times New Roman" w:eastAsia="宋体" w:cs="Times New Roman"/>
                <w:color w:val="auto"/>
                <w:sz w:val="24"/>
                <w:szCs w:val="24"/>
                <w:lang w:val="en-US" w:eastAsia="zh-CN"/>
              </w:rPr>
              <w:t>，对照《土地利用现状分类》（GBT21010-2017），用地代码为0601，指主要用于工业生产、物资存放场所的土地，符合本项目用地需求</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当前供水、供电均由</w:t>
            </w:r>
            <w:r>
              <w:rPr>
                <w:rFonts w:hint="eastAsia" w:ascii="Times New Roman" w:hAnsi="Times New Roman" w:eastAsia="宋体" w:cs="Times New Roman"/>
                <w:color w:val="auto"/>
                <w:sz w:val="24"/>
                <w:szCs w:val="24"/>
                <w:lang w:val="en-US" w:eastAsia="zh-CN"/>
              </w:rPr>
              <w:t>闫李庄村</w:t>
            </w:r>
            <w:r>
              <w:rPr>
                <w:rFonts w:hint="eastAsia" w:ascii="Times New Roman" w:hAnsi="Times New Roman" w:eastAsia="宋体" w:cs="Times New Roman"/>
                <w:color w:val="auto"/>
                <w:sz w:val="24"/>
                <w:szCs w:val="24"/>
                <w:lang w:eastAsia="zh-CN"/>
              </w:rPr>
              <w:t>管网</w:t>
            </w:r>
            <w:r>
              <w:rPr>
                <w:rFonts w:ascii="Times New Roman" w:hAnsi="Times New Roman" w:eastAsia="宋体" w:cs="Times New Roman"/>
                <w:color w:val="auto"/>
                <w:sz w:val="24"/>
                <w:szCs w:val="24"/>
                <w:lang w:eastAsia="zh-CN"/>
              </w:rPr>
              <w:t>供给</w:t>
            </w:r>
            <w:r>
              <w:rPr>
                <w:rFonts w:hint="eastAsia" w:ascii="Times New Roman" w:hAnsi="Times New Roman" w:eastAsia="宋体" w:cs="Times New Roman"/>
                <w:color w:val="auto"/>
                <w:sz w:val="24"/>
                <w:szCs w:val="24"/>
                <w:lang w:eastAsia="zh-CN"/>
              </w:rPr>
              <w:t>，满足生产需求。</w:t>
            </w:r>
            <w:r>
              <w:rPr>
                <w:rFonts w:hint="eastAsia" w:ascii="Times New Roman" w:hAnsi="Times New Roman" w:eastAsia="宋体" w:cs="Times New Roman"/>
                <w:color w:val="auto"/>
                <w:sz w:val="24"/>
                <w:szCs w:val="24"/>
                <w:lang w:val="en-US" w:eastAsia="zh-CN"/>
              </w:rPr>
              <w:t>本项目主要污染物为大气颗粒物，经除尘器处理后达标排放，因此建成后对周边环境影响较小。</w:t>
            </w:r>
          </w:p>
          <w:p w14:paraId="460478EE">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由上述可知，本项目</w:t>
            </w:r>
            <w:r>
              <w:rPr>
                <w:rFonts w:ascii="Times New Roman" w:hAnsi="Times New Roman" w:eastAsia="宋体" w:cs="Times New Roman"/>
                <w:color w:val="auto"/>
                <w:sz w:val="24"/>
                <w:szCs w:val="24"/>
                <w:lang w:eastAsia="zh-CN"/>
              </w:rPr>
              <w:t>评价区域内无国务院、国家有关部门和省（自治区、直辖市）人民政府规定的生态保护区、自然保护区、风景旅游区、文化遗产保护区</w:t>
            </w:r>
            <w:r>
              <w:rPr>
                <w:rFonts w:hint="eastAsia" w:ascii="Times New Roman" w:hAnsi="Times New Roman" w:eastAsia="宋体" w:cs="Times New Roman"/>
                <w:color w:val="auto"/>
                <w:sz w:val="24"/>
                <w:szCs w:val="24"/>
                <w:lang w:eastAsia="zh-CN"/>
              </w:rPr>
              <w:t>，且不违背“三线一单”要求。</w:t>
            </w:r>
          </w:p>
          <w:p w14:paraId="102F8B06">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以上分析可知，</w:t>
            </w:r>
            <w:r>
              <w:rPr>
                <w:rFonts w:ascii="Times New Roman" w:hAnsi="Times New Roman" w:eastAsia="宋体" w:cs="Times New Roman"/>
                <w:color w:val="auto"/>
                <w:sz w:val="24"/>
                <w:szCs w:val="24"/>
                <w:lang w:eastAsia="zh-CN"/>
              </w:rPr>
              <w:t>本项目选址可行。</w:t>
            </w:r>
          </w:p>
          <w:p w14:paraId="220F03DB">
            <w:pPr>
              <w:spacing w:line="360" w:lineRule="auto"/>
              <w:ind w:firstLine="482" w:firstLineChars="200"/>
              <w:jc w:val="both"/>
              <w:rPr>
                <w:rFonts w:hint="eastAsia" w:ascii="Times New Roman" w:hAnsi="Times New Roman" w:eastAsia="宋体" w:cs="Times New Roman"/>
                <w:b/>
                <w:bCs/>
                <w:color w:val="auto"/>
                <w:sz w:val="24"/>
                <w:szCs w:val="24"/>
                <w:lang w:val="en-US" w:eastAsia="zh-CN"/>
              </w:rPr>
            </w:pPr>
          </w:p>
          <w:p w14:paraId="0F2AD450">
            <w:pPr>
              <w:spacing w:line="360" w:lineRule="auto"/>
              <w:jc w:val="both"/>
              <w:rPr>
                <w:rFonts w:hint="eastAsia" w:ascii="Times New Roman" w:hAnsi="Times New Roman" w:eastAsia="宋体" w:cs="Times New Roman"/>
                <w:color w:val="auto"/>
                <w:sz w:val="24"/>
                <w:szCs w:val="24"/>
                <w:lang w:eastAsia="zh-CN"/>
              </w:rPr>
            </w:pPr>
          </w:p>
          <w:p w14:paraId="6F3DC775">
            <w:pPr>
              <w:spacing w:line="360" w:lineRule="auto"/>
              <w:jc w:val="both"/>
              <w:rPr>
                <w:rFonts w:hint="eastAsia" w:ascii="Times New Roman" w:hAnsi="Times New Roman" w:eastAsia="宋体" w:cs="Times New Roman"/>
                <w:color w:val="auto"/>
                <w:sz w:val="24"/>
                <w:szCs w:val="24"/>
                <w:lang w:eastAsia="zh-CN"/>
              </w:rPr>
            </w:pPr>
          </w:p>
          <w:p w14:paraId="062AF2B2">
            <w:pPr>
              <w:spacing w:line="360" w:lineRule="auto"/>
              <w:jc w:val="both"/>
              <w:rPr>
                <w:rFonts w:hint="eastAsia" w:ascii="Times New Roman" w:hAnsi="Times New Roman" w:eastAsia="宋体" w:cs="Times New Roman"/>
                <w:color w:val="auto"/>
                <w:sz w:val="24"/>
                <w:szCs w:val="24"/>
                <w:lang w:eastAsia="zh-CN"/>
              </w:rPr>
            </w:pPr>
          </w:p>
          <w:p w14:paraId="611921D6">
            <w:pPr>
              <w:spacing w:line="360" w:lineRule="auto"/>
              <w:jc w:val="both"/>
              <w:rPr>
                <w:rFonts w:hint="eastAsia" w:ascii="Times New Roman" w:hAnsi="Times New Roman" w:eastAsia="宋体" w:cs="Times New Roman"/>
                <w:color w:val="auto"/>
                <w:sz w:val="24"/>
                <w:szCs w:val="24"/>
                <w:lang w:eastAsia="zh-CN"/>
              </w:rPr>
            </w:pPr>
          </w:p>
          <w:p w14:paraId="54252462">
            <w:pPr>
              <w:spacing w:line="360" w:lineRule="auto"/>
              <w:jc w:val="both"/>
              <w:rPr>
                <w:rFonts w:hint="eastAsia" w:ascii="Times New Roman" w:hAnsi="Times New Roman" w:eastAsia="宋体" w:cs="Times New Roman"/>
                <w:color w:val="auto"/>
                <w:sz w:val="24"/>
                <w:szCs w:val="24"/>
                <w:lang w:eastAsia="zh-CN"/>
              </w:rPr>
            </w:pPr>
          </w:p>
          <w:p w14:paraId="0C821D38">
            <w:pPr>
              <w:spacing w:line="360" w:lineRule="auto"/>
              <w:jc w:val="both"/>
              <w:rPr>
                <w:rFonts w:hint="eastAsia" w:ascii="Times New Roman" w:hAnsi="Times New Roman" w:eastAsia="宋体" w:cs="Times New Roman"/>
                <w:color w:val="auto"/>
                <w:sz w:val="24"/>
                <w:szCs w:val="24"/>
                <w:lang w:eastAsia="zh-CN"/>
              </w:rPr>
            </w:pPr>
          </w:p>
          <w:p w14:paraId="5F30DCAD">
            <w:pPr>
              <w:spacing w:line="360" w:lineRule="auto"/>
              <w:jc w:val="both"/>
              <w:rPr>
                <w:rFonts w:hint="eastAsia" w:ascii="Times New Roman" w:hAnsi="Times New Roman" w:eastAsia="宋体" w:cs="Times New Roman"/>
                <w:color w:val="auto"/>
                <w:sz w:val="24"/>
                <w:szCs w:val="24"/>
                <w:lang w:eastAsia="zh-CN"/>
              </w:rPr>
            </w:pPr>
          </w:p>
          <w:p w14:paraId="51FD8787">
            <w:pPr>
              <w:spacing w:line="360" w:lineRule="auto"/>
              <w:jc w:val="both"/>
              <w:rPr>
                <w:rFonts w:hint="eastAsia" w:ascii="Times New Roman" w:hAnsi="Times New Roman" w:eastAsia="宋体" w:cs="Times New Roman"/>
                <w:color w:val="auto"/>
                <w:sz w:val="24"/>
                <w:szCs w:val="24"/>
                <w:lang w:eastAsia="zh-CN"/>
              </w:rPr>
            </w:pPr>
          </w:p>
          <w:p w14:paraId="352450E4">
            <w:pPr>
              <w:spacing w:line="360" w:lineRule="auto"/>
              <w:jc w:val="both"/>
              <w:rPr>
                <w:rFonts w:hint="eastAsia" w:ascii="Times New Roman" w:hAnsi="Times New Roman" w:eastAsia="宋体" w:cs="Times New Roman"/>
                <w:color w:val="auto"/>
                <w:sz w:val="24"/>
                <w:szCs w:val="24"/>
                <w:lang w:eastAsia="zh-CN"/>
              </w:rPr>
            </w:pPr>
          </w:p>
          <w:p w14:paraId="45FCDE80">
            <w:pPr>
              <w:spacing w:line="360" w:lineRule="auto"/>
              <w:jc w:val="both"/>
              <w:rPr>
                <w:rFonts w:hint="eastAsia" w:ascii="Times New Roman" w:hAnsi="Times New Roman" w:eastAsia="宋体" w:cs="Times New Roman"/>
                <w:color w:val="auto"/>
                <w:sz w:val="24"/>
                <w:szCs w:val="24"/>
                <w:lang w:eastAsia="zh-CN"/>
              </w:rPr>
            </w:pPr>
          </w:p>
          <w:p w14:paraId="28E5365B">
            <w:pPr>
              <w:spacing w:line="360" w:lineRule="auto"/>
              <w:jc w:val="both"/>
              <w:rPr>
                <w:rFonts w:hint="eastAsia" w:ascii="Times New Roman" w:hAnsi="Times New Roman" w:eastAsia="宋体" w:cs="Times New Roman"/>
                <w:color w:val="auto"/>
                <w:sz w:val="24"/>
                <w:szCs w:val="24"/>
                <w:lang w:eastAsia="zh-CN"/>
              </w:rPr>
            </w:pPr>
          </w:p>
          <w:p w14:paraId="01D47BB2">
            <w:pPr>
              <w:spacing w:line="360" w:lineRule="auto"/>
              <w:jc w:val="both"/>
              <w:rPr>
                <w:rFonts w:hint="eastAsia" w:ascii="Times New Roman" w:hAnsi="Times New Roman" w:eastAsia="宋体" w:cs="Times New Roman"/>
                <w:color w:val="auto"/>
                <w:sz w:val="24"/>
                <w:szCs w:val="24"/>
                <w:lang w:eastAsia="zh-CN"/>
              </w:rPr>
            </w:pPr>
          </w:p>
          <w:p w14:paraId="493CBC11">
            <w:pPr>
              <w:spacing w:line="360" w:lineRule="auto"/>
              <w:jc w:val="both"/>
              <w:rPr>
                <w:rFonts w:hint="eastAsia" w:ascii="Times New Roman" w:hAnsi="Times New Roman" w:eastAsia="宋体" w:cs="Times New Roman"/>
                <w:color w:val="auto"/>
                <w:sz w:val="24"/>
                <w:szCs w:val="24"/>
                <w:lang w:eastAsia="zh-CN"/>
              </w:rPr>
            </w:pPr>
          </w:p>
        </w:tc>
      </w:tr>
    </w:tbl>
    <w:p w14:paraId="0EBE7B85">
      <w:pPr>
        <w:rPr>
          <w:rFonts w:ascii="Times New Roman" w:hAnsi="Times New Roman" w:eastAsia="宋体" w:cs="Times New Roman"/>
          <w:color w:val="auto"/>
          <w:lang w:eastAsia="zh-CN"/>
        </w:rPr>
        <w:sectPr>
          <w:footerReference r:id="rId9" w:type="default"/>
          <w:footerReference r:id="rId10" w:type="even"/>
          <w:pgSz w:w="11910" w:h="16840"/>
          <w:pgMar w:top="1580" w:right="1400" w:bottom="1240" w:left="1400" w:header="0" w:footer="1043" w:gutter="0"/>
          <w:pgBorders>
            <w:top w:val="none" w:sz="0" w:space="0"/>
            <w:left w:val="none" w:sz="0" w:space="0"/>
            <w:bottom w:val="none" w:sz="0" w:space="0"/>
            <w:right w:val="none" w:sz="0" w:space="0"/>
          </w:pgBorders>
          <w:pgNumType w:start="1"/>
          <w:cols w:space="720" w:num="1"/>
        </w:sectPr>
      </w:pPr>
    </w:p>
    <w:p w14:paraId="187D5D51">
      <w:pPr>
        <w:pStyle w:val="27"/>
        <w:jc w:val="center"/>
        <w:outlineLvl w:val="0"/>
        <w:rPr>
          <w:rFonts w:ascii="黑体" w:hAnsi="黑体" w:eastAsia="黑体"/>
          <w:snapToGrid w:val="0"/>
          <w:color w:val="auto"/>
          <w:sz w:val="30"/>
          <w:szCs w:val="30"/>
        </w:rPr>
      </w:pPr>
      <w:bookmarkStart w:id="11" w:name="三、工程分析"/>
      <w:bookmarkEnd w:id="11"/>
      <w:bookmarkStart w:id="12" w:name="二、适用评价标准和区域环境质量现状"/>
      <w:bookmarkEnd w:id="12"/>
      <w:bookmarkStart w:id="13" w:name="_Toc31832"/>
      <w:r>
        <w:rPr>
          <w:rFonts w:hint="eastAsia" w:ascii="黑体" w:hAnsi="黑体" w:eastAsia="黑体"/>
          <w:snapToGrid w:val="0"/>
          <w:color w:val="auto"/>
          <w:sz w:val="30"/>
          <w:szCs w:val="30"/>
        </w:rPr>
        <w:t>二、建设项目工程分析</w:t>
      </w:r>
      <w:bookmarkEnd w:id="13"/>
    </w:p>
    <w:tbl>
      <w:tblPr>
        <w:tblStyle w:val="32"/>
        <w:tblW w:w="934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95"/>
        <w:gridCol w:w="8145"/>
      </w:tblGrid>
      <w:tr w14:paraId="4F6C84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0" w:hRule="atLeast"/>
          <w:jc w:val="center"/>
        </w:trPr>
        <w:tc>
          <w:tcPr>
            <w:tcW w:w="1195" w:type="dxa"/>
            <w:tcBorders>
              <w:tl2br w:val="nil"/>
              <w:tr2bl w:val="nil"/>
            </w:tcBorders>
            <w:vAlign w:val="center"/>
          </w:tcPr>
          <w:p w14:paraId="0D1FB349">
            <w:pPr>
              <w:pStyle w:val="42"/>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建设内容</w:t>
            </w:r>
          </w:p>
        </w:tc>
        <w:tc>
          <w:tcPr>
            <w:tcW w:w="8145" w:type="dxa"/>
            <w:tcBorders>
              <w:tl2br w:val="nil"/>
              <w:tr2bl w:val="nil"/>
            </w:tcBorders>
            <w:vAlign w:val="center"/>
          </w:tcPr>
          <w:p w14:paraId="5FC6EE32">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2.1工程组成</w:t>
            </w:r>
          </w:p>
          <w:p w14:paraId="1E6199E1">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2.1</w:t>
            </w:r>
            <w:r>
              <w:rPr>
                <w:rFonts w:hint="eastAsia" w:ascii="Times New Roman" w:hAnsi="Times New Roman" w:eastAsia="宋体" w:cs="Times New Roman"/>
                <w:color w:val="auto"/>
                <w:sz w:val="24"/>
                <w:szCs w:val="24"/>
                <w:lang w:val="en-US" w:eastAsia="zh-CN"/>
              </w:rPr>
              <w:t>.1工程组成情况</w:t>
            </w:r>
          </w:p>
          <w:p w14:paraId="592F74A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本项目位于</w:t>
            </w:r>
            <w:r>
              <w:rPr>
                <w:rFonts w:hint="eastAsia" w:ascii="Times New Roman" w:hAnsi="Times New Roman" w:eastAsia="宋体" w:cs="Times New Roman"/>
                <w:color w:val="auto"/>
                <w:sz w:val="24"/>
                <w:szCs w:val="24"/>
                <w:highlight w:val="none"/>
                <w:lang w:eastAsia="zh-CN"/>
              </w:rPr>
              <w:t>山西省长治市潞城区史回镇闫李庄村东侧132m。</w:t>
            </w:r>
            <w:r>
              <w:rPr>
                <w:rFonts w:hint="eastAsia" w:ascii="Times New Roman" w:hAnsi="Times New Roman" w:eastAsia="宋体" w:cs="Times New Roman"/>
                <w:color w:val="auto"/>
                <w:sz w:val="24"/>
                <w:szCs w:val="24"/>
                <w:highlight w:val="none"/>
                <w:lang w:val="en-US" w:eastAsia="zh-CN"/>
              </w:rPr>
              <w:t>根据备案证（附件2），扩建1条年生产5万吨石灰粉生产线，建设1座1200m</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全封闭生产车间，购置复合式破碎机1台，成品筒仓1个及环保除尘设备等</w:t>
            </w:r>
            <w:r>
              <w:rPr>
                <w:rFonts w:hint="eastAsia" w:ascii="Times New Roman" w:hAnsi="Times New Roman" w:eastAsia="宋体" w:cs="Times New Roman"/>
                <w:color w:val="auto"/>
                <w:sz w:val="24"/>
                <w:szCs w:val="24"/>
                <w:highlight w:val="none"/>
                <w:lang w:eastAsia="zh-CN"/>
              </w:rPr>
              <w:t>。</w:t>
            </w:r>
          </w:p>
          <w:p w14:paraId="1F78751A">
            <w:pPr>
              <w:adjustRightInd w:val="0"/>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auto"/>
                <w:sz w:val="21"/>
                <w:szCs w:val="21"/>
                <w:lang w:eastAsia="zh-CN"/>
              </w:rPr>
              <w:t>表</w:t>
            </w:r>
            <w:r>
              <w:rPr>
                <w:rFonts w:hint="eastAsia" w:ascii="Times New Roman" w:hAnsi="Times New Roman" w:eastAsia="宋体" w:cs="Times New Roman"/>
                <w:b/>
                <w:color w:val="auto"/>
                <w:sz w:val="21"/>
                <w:szCs w:val="21"/>
                <w:lang w:eastAsia="zh-CN"/>
              </w:rPr>
              <w:t>2</w:t>
            </w:r>
            <w:r>
              <w:rPr>
                <w:rFonts w:hint="eastAsia" w:ascii="Times New Roman" w:hAnsi="Times New Roman" w:eastAsia="宋体" w:cs="Times New Roman"/>
                <w:b/>
                <w:color w:val="auto"/>
                <w:sz w:val="21"/>
                <w:szCs w:val="21"/>
                <w:lang w:val="en-US" w:eastAsia="zh-CN"/>
              </w:rPr>
              <w:t>.1</w:t>
            </w:r>
            <w:r>
              <w:rPr>
                <w:rFonts w:hint="eastAsia" w:ascii="Times New Roman" w:hAnsi="Times New Roman" w:eastAsia="宋体" w:cs="Times New Roman"/>
                <w:b/>
                <w:color w:val="auto"/>
                <w:sz w:val="21"/>
                <w:szCs w:val="21"/>
                <w:lang w:eastAsia="zh-CN"/>
              </w:rPr>
              <w:t>-</w:t>
            </w:r>
            <w:r>
              <w:rPr>
                <w:rFonts w:ascii="Times New Roman" w:hAnsi="Times New Roman" w:eastAsia="宋体" w:cs="Times New Roman"/>
                <w:b/>
                <w:color w:val="auto"/>
                <w:sz w:val="21"/>
                <w:szCs w:val="21"/>
                <w:lang w:eastAsia="zh-CN"/>
              </w:rPr>
              <w:t>1</w:t>
            </w:r>
            <w:r>
              <w:rPr>
                <w:rFonts w:hint="eastAsia" w:ascii="Times New Roman" w:hAnsi="Times New Roman" w:eastAsia="宋体" w:cs="Times New Roman"/>
                <w:b/>
                <w:color w:val="auto"/>
                <w:sz w:val="21"/>
                <w:szCs w:val="21"/>
                <w:lang w:val="en-US" w:eastAsia="zh-CN"/>
              </w:rPr>
              <w:t xml:space="preserve">  本</w:t>
            </w:r>
            <w:r>
              <w:rPr>
                <w:rFonts w:ascii="Times New Roman" w:hAnsi="Times New Roman" w:eastAsia="宋体" w:cs="Times New Roman"/>
                <w:b/>
                <w:color w:val="auto"/>
                <w:sz w:val="21"/>
                <w:szCs w:val="21"/>
                <w:lang w:eastAsia="zh-CN"/>
              </w:rPr>
              <w:t>项目组成一览表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515"/>
              <w:gridCol w:w="1402"/>
              <w:gridCol w:w="4696"/>
              <w:gridCol w:w="654"/>
            </w:tblGrid>
            <w:tr w14:paraId="2CA18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tcBorders>
                    <w:tl2br w:val="nil"/>
                    <w:tr2bl w:val="nil"/>
                  </w:tcBorders>
                  <w:noWrap/>
                  <w:vAlign w:val="center"/>
                </w:tcPr>
                <w:p w14:paraId="32A9BFC5">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名称</w:t>
                  </w:r>
                </w:p>
              </w:tc>
              <w:tc>
                <w:tcPr>
                  <w:tcW w:w="1917" w:type="dxa"/>
                  <w:gridSpan w:val="2"/>
                  <w:tcBorders>
                    <w:tl2br w:val="nil"/>
                    <w:tr2bl w:val="nil"/>
                  </w:tcBorders>
                  <w:noWrap/>
                  <w:vAlign w:val="center"/>
                </w:tcPr>
                <w:p w14:paraId="79276EC5">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建设内容</w:t>
                  </w:r>
                </w:p>
              </w:tc>
              <w:tc>
                <w:tcPr>
                  <w:tcW w:w="4696" w:type="dxa"/>
                  <w:tcBorders>
                    <w:tl2br w:val="nil"/>
                    <w:tr2bl w:val="nil"/>
                  </w:tcBorders>
                  <w:noWrap/>
                  <w:vAlign w:val="center"/>
                </w:tcPr>
                <w:p w14:paraId="4D3099B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工程内容及规模</w:t>
                  </w:r>
                </w:p>
              </w:tc>
              <w:tc>
                <w:tcPr>
                  <w:tcW w:w="654" w:type="dxa"/>
                  <w:tcBorders>
                    <w:tl2br w:val="nil"/>
                    <w:tr2bl w:val="nil"/>
                  </w:tcBorders>
                  <w:noWrap/>
                  <w:vAlign w:val="center"/>
                </w:tcPr>
                <w:p w14:paraId="13D334BD">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备注</w:t>
                  </w:r>
                </w:p>
              </w:tc>
            </w:tr>
            <w:tr w14:paraId="06D32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tcBorders>
                    <w:tl2br w:val="nil"/>
                    <w:tr2bl w:val="nil"/>
                  </w:tcBorders>
                  <w:noWrap/>
                  <w:vAlign w:val="center"/>
                </w:tcPr>
                <w:p w14:paraId="3A68462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auto"/>
                      <w:sz w:val="21"/>
                      <w:szCs w:val="21"/>
                      <w:lang w:val="en-US" w:eastAsia="zh-CN"/>
                    </w:rPr>
                  </w:pPr>
                  <w:r>
                    <w:rPr>
                      <w:rFonts w:ascii="Times New Roman" w:hAnsi="Times New Roman" w:eastAsia="宋体" w:cs="Times New Roman"/>
                      <w:bCs/>
                      <w:color w:val="auto"/>
                      <w:sz w:val="21"/>
                      <w:szCs w:val="21"/>
                    </w:rPr>
                    <w:t>主体工程</w:t>
                  </w:r>
                </w:p>
              </w:tc>
              <w:tc>
                <w:tcPr>
                  <w:tcW w:w="1917" w:type="dxa"/>
                  <w:gridSpan w:val="2"/>
                  <w:tcBorders>
                    <w:tl2br w:val="nil"/>
                    <w:tr2bl w:val="nil"/>
                  </w:tcBorders>
                  <w:noWrap/>
                  <w:vAlign w:val="center"/>
                </w:tcPr>
                <w:p w14:paraId="699007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生产车间</w:t>
                  </w:r>
                </w:p>
              </w:tc>
              <w:tc>
                <w:tcPr>
                  <w:tcW w:w="4696" w:type="dxa"/>
                  <w:tcBorders>
                    <w:tl2br w:val="nil"/>
                    <w:tr2bl w:val="nil"/>
                  </w:tcBorders>
                  <w:noWrap/>
                  <w:vAlign w:val="center"/>
                </w:tcPr>
                <w:p w14:paraId="547FC0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全封闭钢结构，建筑面积1200</w:t>
                  </w:r>
                  <w:r>
                    <w:rPr>
                      <w:rFonts w:hint="eastAsia" w:ascii="Times New Roman" w:hAnsi="Times New Roman" w:eastAsia="宋体" w:cs="Times New Roman"/>
                      <w:bCs/>
                      <w:color w:val="auto"/>
                      <w:sz w:val="21"/>
                      <w:szCs w:val="21"/>
                      <w:highlight w:val="none"/>
                      <w:lang w:eastAsia="zh-CN"/>
                    </w:rPr>
                    <w:t>m</w:t>
                  </w:r>
                  <w:r>
                    <w:rPr>
                      <w:rFonts w:hint="eastAsia" w:ascii="Times New Roman" w:hAnsi="Times New Roman" w:eastAsia="宋体" w:cs="Times New Roman"/>
                      <w:bCs/>
                      <w:color w:val="auto"/>
                      <w:sz w:val="21"/>
                      <w:szCs w:val="21"/>
                      <w:highlight w:val="none"/>
                      <w:vertAlign w:val="superscript"/>
                      <w:lang w:eastAsia="zh-CN"/>
                    </w:rPr>
                    <w:t>2</w:t>
                  </w: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长宽高为60m×20m×12m</w:t>
                  </w: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设置1条</w:t>
                  </w:r>
                  <w:r>
                    <w:rPr>
                      <w:rFonts w:hint="eastAsia" w:ascii="Times New Roman" w:hAnsi="Times New Roman" w:eastAsia="宋体" w:cs="Times New Roman"/>
                      <w:color w:val="auto"/>
                      <w:sz w:val="21"/>
                      <w:szCs w:val="21"/>
                      <w:lang w:val="en-US" w:eastAsia="zh-CN"/>
                    </w:rPr>
                    <w:t>石灰粉生产线</w:t>
                  </w:r>
                  <w:r>
                    <w:rPr>
                      <w:rFonts w:hint="eastAsia" w:ascii="Times New Roman" w:hAnsi="Times New Roman" w:eastAsia="宋体" w:cs="Times New Roman"/>
                      <w:bCs/>
                      <w:color w:val="auto"/>
                      <w:sz w:val="21"/>
                      <w:szCs w:val="21"/>
                      <w:highlight w:val="none"/>
                      <w:lang w:val="en-US" w:eastAsia="zh-CN"/>
                    </w:rPr>
                    <w:t>，配备1台上料机（供料能力50t/h）、1台破碎机（生产能力50t/h）等设备</w:t>
                  </w:r>
                </w:p>
              </w:tc>
              <w:tc>
                <w:tcPr>
                  <w:tcW w:w="654" w:type="dxa"/>
                  <w:tcBorders>
                    <w:tl2br w:val="nil"/>
                    <w:tr2bl w:val="nil"/>
                  </w:tcBorders>
                  <w:noWrap/>
                  <w:vAlign w:val="center"/>
                </w:tcPr>
                <w:p w14:paraId="3A4899D5">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新建</w:t>
                  </w:r>
                </w:p>
              </w:tc>
            </w:tr>
            <w:tr w14:paraId="7EB1C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restart"/>
                  <w:tcBorders>
                    <w:tl2br w:val="nil"/>
                    <w:tr2bl w:val="nil"/>
                  </w:tcBorders>
                  <w:noWrap/>
                  <w:vAlign w:val="center"/>
                </w:tcPr>
                <w:p w14:paraId="01F11F9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辅助工程</w:t>
                  </w:r>
                </w:p>
              </w:tc>
              <w:tc>
                <w:tcPr>
                  <w:tcW w:w="1917" w:type="dxa"/>
                  <w:gridSpan w:val="2"/>
                  <w:tcBorders>
                    <w:tl2br w:val="nil"/>
                    <w:tr2bl w:val="nil"/>
                  </w:tcBorders>
                  <w:noWrap/>
                  <w:vAlign w:val="center"/>
                </w:tcPr>
                <w:p w14:paraId="78D99E3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办公生活区</w:t>
                  </w:r>
                </w:p>
              </w:tc>
              <w:tc>
                <w:tcPr>
                  <w:tcW w:w="4696" w:type="dxa"/>
                  <w:tcBorders>
                    <w:tl2br w:val="nil"/>
                    <w:tr2bl w:val="nil"/>
                  </w:tcBorders>
                  <w:noWrap/>
                  <w:vAlign w:val="center"/>
                </w:tcPr>
                <w:p w14:paraId="070224DC">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依托现有办公楼，砖混结构，1800m</w:t>
                  </w:r>
                  <w:r>
                    <w:rPr>
                      <w:rFonts w:hint="eastAsia" w:ascii="Times New Roman" w:hAnsi="Times New Roman" w:eastAsia="宋体" w:cs="Times New Roman"/>
                      <w:bCs/>
                      <w:color w:val="auto"/>
                      <w:sz w:val="21"/>
                      <w:szCs w:val="21"/>
                      <w:vertAlign w:val="superscript"/>
                      <w:lang w:val="en-US" w:eastAsia="zh-CN"/>
                    </w:rPr>
                    <w:t>2</w:t>
                  </w:r>
                  <w:r>
                    <w:rPr>
                      <w:rFonts w:hint="eastAsia" w:ascii="Times New Roman" w:hAnsi="Times New Roman" w:eastAsia="宋体" w:cs="Times New Roman"/>
                      <w:bCs/>
                      <w:color w:val="auto"/>
                      <w:sz w:val="21"/>
                      <w:szCs w:val="21"/>
                      <w:lang w:val="en-US" w:eastAsia="zh-CN"/>
                    </w:rPr>
                    <w:t>，2F</w:t>
                  </w:r>
                </w:p>
              </w:tc>
              <w:tc>
                <w:tcPr>
                  <w:tcW w:w="654" w:type="dxa"/>
                  <w:tcBorders>
                    <w:tl2br w:val="nil"/>
                    <w:tr2bl w:val="nil"/>
                  </w:tcBorders>
                  <w:noWrap/>
                  <w:vAlign w:val="center"/>
                </w:tcPr>
                <w:p w14:paraId="00F3924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0AAAF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39CE937D">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auto"/>
                      <w:sz w:val="21"/>
                      <w:szCs w:val="21"/>
                    </w:rPr>
                  </w:pPr>
                </w:p>
              </w:tc>
              <w:tc>
                <w:tcPr>
                  <w:tcW w:w="1917" w:type="dxa"/>
                  <w:gridSpan w:val="2"/>
                  <w:tcBorders>
                    <w:tl2br w:val="nil"/>
                    <w:tr2bl w:val="nil"/>
                  </w:tcBorders>
                  <w:noWrap/>
                  <w:vAlign w:val="center"/>
                </w:tcPr>
                <w:p w14:paraId="0D44434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洗车平台</w:t>
                  </w:r>
                </w:p>
              </w:tc>
              <w:tc>
                <w:tcPr>
                  <w:tcW w:w="4696" w:type="dxa"/>
                  <w:tcBorders>
                    <w:tl2br w:val="nil"/>
                    <w:tr2bl w:val="nil"/>
                  </w:tcBorders>
                  <w:noWrap/>
                  <w:vAlign w:val="center"/>
                </w:tcPr>
                <w:p w14:paraId="3923F1A8">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依托现有洗车平台</w:t>
                  </w:r>
                </w:p>
              </w:tc>
              <w:tc>
                <w:tcPr>
                  <w:tcW w:w="654" w:type="dxa"/>
                  <w:tcBorders>
                    <w:tl2br w:val="nil"/>
                    <w:tr2bl w:val="nil"/>
                  </w:tcBorders>
                  <w:noWrap/>
                  <w:vAlign w:val="center"/>
                </w:tcPr>
                <w:p w14:paraId="3BA279D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56D06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7613366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auto"/>
                      <w:sz w:val="21"/>
                      <w:szCs w:val="21"/>
                    </w:rPr>
                  </w:pPr>
                </w:p>
              </w:tc>
              <w:tc>
                <w:tcPr>
                  <w:tcW w:w="1917" w:type="dxa"/>
                  <w:gridSpan w:val="2"/>
                  <w:tcBorders>
                    <w:tl2br w:val="nil"/>
                    <w:tr2bl w:val="nil"/>
                  </w:tcBorders>
                  <w:noWrap/>
                  <w:vAlign w:val="center"/>
                </w:tcPr>
                <w:p w14:paraId="34547B0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地磅</w:t>
                  </w:r>
                </w:p>
              </w:tc>
              <w:tc>
                <w:tcPr>
                  <w:tcW w:w="4696" w:type="dxa"/>
                  <w:tcBorders>
                    <w:tl2br w:val="nil"/>
                    <w:tr2bl w:val="nil"/>
                  </w:tcBorders>
                  <w:noWrap/>
                  <w:vAlign w:val="center"/>
                </w:tcPr>
                <w:p w14:paraId="3A1ACC34">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依托现有</w:t>
                  </w:r>
                  <w:r>
                    <w:rPr>
                      <w:rFonts w:hint="eastAsia" w:ascii="Times New Roman" w:hAnsi="Times New Roman" w:eastAsia="宋体" w:cs="Times New Roman"/>
                      <w:color w:val="auto"/>
                      <w:sz w:val="21"/>
                      <w:szCs w:val="21"/>
                      <w:lang w:val="en-US" w:eastAsia="zh-CN"/>
                    </w:rPr>
                    <w:t>地磅</w:t>
                  </w:r>
                </w:p>
              </w:tc>
              <w:tc>
                <w:tcPr>
                  <w:tcW w:w="654" w:type="dxa"/>
                  <w:tcBorders>
                    <w:tl2br w:val="nil"/>
                    <w:tr2bl w:val="nil"/>
                  </w:tcBorders>
                  <w:noWrap/>
                  <w:vAlign w:val="center"/>
                </w:tcPr>
                <w:p w14:paraId="4BE8C93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196B8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dxa"/>
                  <w:vMerge w:val="restart"/>
                  <w:tcBorders>
                    <w:tl2br w:val="nil"/>
                    <w:tr2bl w:val="nil"/>
                  </w:tcBorders>
                  <w:noWrap/>
                  <w:vAlign w:val="center"/>
                </w:tcPr>
                <w:p w14:paraId="54AC0428">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公用工程</w:t>
                  </w:r>
                </w:p>
              </w:tc>
              <w:tc>
                <w:tcPr>
                  <w:tcW w:w="1917" w:type="dxa"/>
                  <w:gridSpan w:val="2"/>
                  <w:tcBorders>
                    <w:tl2br w:val="nil"/>
                    <w:tr2bl w:val="nil"/>
                  </w:tcBorders>
                  <w:noWrap/>
                  <w:vAlign w:val="center"/>
                </w:tcPr>
                <w:p w14:paraId="35F9E36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bidi="ar-SA"/>
                    </w:rPr>
                  </w:pPr>
                  <w:r>
                    <w:rPr>
                      <w:rFonts w:ascii="Times New Roman" w:hAnsi="Times New Roman" w:eastAsia="宋体" w:cs="Times New Roman"/>
                      <w:color w:val="auto"/>
                      <w:sz w:val="21"/>
                      <w:szCs w:val="21"/>
                    </w:rPr>
                    <w:t>供电</w:t>
                  </w:r>
                </w:p>
              </w:tc>
              <w:tc>
                <w:tcPr>
                  <w:tcW w:w="4696" w:type="dxa"/>
                  <w:tcBorders>
                    <w:tl2br w:val="nil"/>
                    <w:tr2bl w:val="nil"/>
                  </w:tcBorders>
                  <w:noWrap/>
                  <w:vAlign w:val="center"/>
                </w:tcPr>
                <w:p w14:paraId="1A5AEB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由长钢集团变电站提供，依托</w:t>
                  </w:r>
                  <w:r>
                    <w:rPr>
                      <w:rFonts w:hint="eastAsia" w:ascii="Times New Roman" w:hAnsi="Times New Roman" w:eastAsia="宋体" w:cs="Times New Roman"/>
                      <w:bCs/>
                      <w:color w:val="auto"/>
                      <w:sz w:val="21"/>
                      <w:szCs w:val="21"/>
                      <w:lang w:val="en-US" w:eastAsia="zh-CN"/>
                    </w:rPr>
                    <w:t>现有变压器</w:t>
                  </w:r>
                </w:p>
              </w:tc>
              <w:tc>
                <w:tcPr>
                  <w:tcW w:w="654" w:type="dxa"/>
                  <w:tcBorders>
                    <w:tl2br w:val="nil"/>
                    <w:tr2bl w:val="nil"/>
                  </w:tcBorders>
                  <w:noWrap/>
                  <w:vAlign w:val="center"/>
                </w:tcPr>
                <w:p w14:paraId="21357C9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648A4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2E2D4AFA">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auto"/>
                      <w:sz w:val="21"/>
                      <w:szCs w:val="21"/>
                    </w:rPr>
                  </w:pPr>
                </w:p>
              </w:tc>
              <w:tc>
                <w:tcPr>
                  <w:tcW w:w="1917" w:type="dxa"/>
                  <w:gridSpan w:val="2"/>
                  <w:tcBorders>
                    <w:tl2br w:val="nil"/>
                    <w:tr2bl w:val="nil"/>
                  </w:tcBorders>
                  <w:noWrap/>
                  <w:vAlign w:val="center"/>
                </w:tcPr>
                <w:p w14:paraId="359A423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bidi="ar-SA"/>
                    </w:rPr>
                  </w:pPr>
                  <w:r>
                    <w:rPr>
                      <w:rFonts w:ascii="Times New Roman" w:hAnsi="Times New Roman" w:eastAsia="宋体" w:cs="Times New Roman"/>
                      <w:color w:val="auto"/>
                      <w:sz w:val="21"/>
                      <w:szCs w:val="21"/>
                    </w:rPr>
                    <w:t>供水</w:t>
                  </w:r>
                </w:p>
              </w:tc>
              <w:tc>
                <w:tcPr>
                  <w:tcW w:w="4696" w:type="dxa"/>
                  <w:tcBorders>
                    <w:tl2br w:val="nil"/>
                    <w:tr2bl w:val="nil"/>
                  </w:tcBorders>
                  <w:noWrap/>
                  <w:vAlign w:val="center"/>
                </w:tcPr>
                <w:p w14:paraId="69D6FD4F">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bidi="ar-SA"/>
                    </w:rPr>
                  </w:pPr>
                  <w:r>
                    <w:rPr>
                      <w:rFonts w:ascii="Times New Roman" w:hAnsi="Times New Roman" w:eastAsia="宋体" w:cs="Times New Roman"/>
                      <w:color w:val="auto"/>
                      <w:sz w:val="21"/>
                      <w:szCs w:val="21"/>
                      <w:lang w:eastAsia="zh-CN"/>
                    </w:rPr>
                    <w:t>由</w:t>
                  </w:r>
                  <w:r>
                    <w:rPr>
                      <w:rFonts w:hint="eastAsia" w:ascii="Times New Roman" w:hAnsi="Times New Roman" w:eastAsia="宋体" w:cs="Times New Roman"/>
                      <w:color w:val="auto"/>
                      <w:sz w:val="21"/>
                      <w:szCs w:val="21"/>
                      <w:lang w:eastAsia="zh-CN"/>
                    </w:rPr>
                    <w:t>闫李庄村管网</w:t>
                  </w:r>
                  <w:r>
                    <w:rPr>
                      <w:rFonts w:ascii="Times New Roman" w:hAnsi="Times New Roman" w:eastAsia="宋体" w:cs="Times New Roman"/>
                      <w:color w:val="auto"/>
                      <w:sz w:val="21"/>
                      <w:szCs w:val="21"/>
                      <w:lang w:eastAsia="zh-CN"/>
                    </w:rPr>
                    <w:t>接入</w:t>
                  </w:r>
                </w:p>
              </w:tc>
              <w:tc>
                <w:tcPr>
                  <w:tcW w:w="654" w:type="dxa"/>
                  <w:tcBorders>
                    <w:tl2br w:val="nil"/>
                    <w:tr2bl w:val="nil"/>
                  </w:tcBorders>
                  <w:noWrap/>
                  <w:vAlign w:val="center"/>
                </w:tcPr>
                <w:p w14:paraId="42483CD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02D4F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6DC59F17">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auto"/>
                      <w:sz w:val="21"/>
                      <w:szCs w:val="21"/>
                    </w:rPr>
                  </w:pPr>
                </w:p>
              </w:tc>
              <w:tc>
                <w:tcPr>
                  <w:tcW w:w="1917" w:type="dxa"/>
                  <w:gridSpan w:val="2"/>
                  <w:tcBorders>
                    <w:tl2br w:val="nil"/>
                    <w:tr2bl w:val="nil"/>
                  </w:tcBorders>
                  <w:noWrap/>
                  <w:vAlign w:val="center"/>
                </w:tcPr>
                <w:p w14:paraId="28CB9CA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bidi="ar-SA"/>
                    </w:rPr>
                  </w:pPr>
                  <w:r>
                    <w:rPr>
                      <w:rFonts w:ascii="Times New Roman" w:hAnsi="Times New Roman" w:eastAsia="宋体" w:cs="Times New Roman"/>
                      <w:color w:val="auto"/>
                      <w:sz w:val="21"/>
                      <w:szCs w:val="21"/>
                    </w:rPr>
                    <w:t>供</w:t>
                  </w:r>
                  <w:r>
                    <w:rPr>
                      <w:rFonts w:hint="eastAsia" w:ascii="Times New Roman" w:hAnsi="Times New Roman" w:eastAsia="宋体" w:cs="Times New Roman"/>
                      <w:color w:val="auto"/>
                      <w:sz w:val="21"/>
                      <w:szCs w:val="21"/>
                      <w:lang w:val="en-US" w:eastAsia="zh-CN"/>
                    </w:rPr>
                    <w:t>热</w:t>
                  </w:r>
                </w:p>
              </w:tc>
              <w:tc>
                <w:tcPr>
                  <w:tcW w:w="4696" w:type="dxa"/>
                  <w:tcBorders>
                    <w:tl2br w:val="nil"/>
                    <w:tr2bl w:val="nil"/>
                  </w:tcBorders>
                  <w:noWrap/>
                  <w:vAlign w:val="center"/>
                </w:tcPr>
                <w:p w14:paraId="1EB69C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654" w:type="dxa"/>
                  <w:tcBorders>
                    <w:tl2br w:val="nil"/>
                    <w:tr2bl w:val="nil"/>
                  </w:tcBorders>
                  <w:noWrap/>
                  <w:vAlign w:val="center"/>
                </w:tcPr>
                <w:p w14:paraId="2C1F8C7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714D0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767" w:type="dxa"/>
                  <w:vMerge w:val="restart"/>
                  <w:tcBorders>
                    <w:tl2br w:val="nil"/>
                    <w:tr2bl w:val="nil"/>
                  </w:tcBorders>
                  <w:noWrap/>
                  <w:vAlign w:val="center"/>
                </w:tcPr>
                <w:p w14:paraId="7E7F70E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储运工程</w:t>
                  </w:r>
                </w:p>
              </w:tc>
              <w:tc>
                <w:tcPr>
                  <w:tcW w:w="1917" w:type="dxa"/>
                  <w:gridSpan w:val="2"/>
                  <w:tcBorders>
                    <w:tl2br w:val="nil"/>
                    <w:tr2bl w:val="nil"/>
                  </w:tcBorders>
                  <w:noWrap/>
                  <w:vAlign w:val="center"/>
                </w:tcPr>
                <w:p w14:paraId="732B8B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原料区</w:t>
                  </w:r>
                </w:p>
              </w:tc>
              <w:tc>
                <w:tcPr>
                  <w:tcW w:w="4696" w:type="dxa"/>
                  <w:tcBorders>
                    <w:tl2br w:val="nil"/>
                    <w:tr2bl w:val="nil"/>
                  </w:tcBorders>
                  <w:noWrap/>
                  <w:vAlign w:val="center"/>
                </w:tcPr>
                <w:p w14:paraId="46BB31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位于生产车间内西侧，</w:t>
                  </w:r>
                  <w:r>
                    <w:rPr>
                      <w:rFonts w:hint="eastAsia" w:ascii="Times New Roman" w:hAnsi="Times New Roman" w:eastAsia="宋体" w:cs="Times New Roman"/>
                      <w:bCs/>
                      <w:color w:val="auto"/>
                      <w:sz w:val="21"/>
                      <w:szCs w:val="21"/>
                      <w:highlight w:val="none"/>
                      <w:lang w:val="en-US" w:eastAsia="zh-CN"/>
                    </w:rPr>
                    <w:t>建筑面积400</w:t>
                  </w:r>
                  <w:r>
                    <w:rPr>
                      <w:rFonts w:hint="eastAsia" w:ascii="Times New Roman" w:hAnsi="Times New Roman" w:eastAsia="宋体" w:cs="Times New Roman"/>
                      <w:bCs/>
                      <w:color w:val="auto"/>
                      <w:sz w:val="21"/>
                      <w:szCs w:val="21"/>
                      <w:highlight w:val="none"/>
                      <w:lang w:eastAsia="zh-CN"/>
                    </w:rPr>
                    <w:t>m</w:t>
                  </w:r>
                  <w:r>
                    <w:rPr>
                      <w:rFonts w:hint="eastAsia" w:ascii="Times New Roman" w:hAnsi="Times New Roman" w:eastAsia="宋体" w:cs="Times New Roman"/>
                      <w:bCs/>
                      <w:color w:val="auto"/>
                      <w:sz w:val="21"/>
                      <w:szCs w:val="21"/>
                      <w:highlight w:val="none"/>
                      <w:vertAlign w:val="superscript"/>
                      <w:lang w:eastAsia="zh-CN"/>
                    </w:rPr>
                    <w:t>2</w:t>
                  </w: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长宽高为20m×20m×12m</w:t>
                  </w: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主要用于临时存放原料</w:t>
                  </w:r>
                </w:p>
              </w:tc>
              <w:tc>
                <w:tcPr>
                  <w:tcW w:w="654" w:type="dxa"/>
                  <w:tcBorders>
                    <w:tl2br w:val="nil"/>
                    <w:tr2bl w:val="nil"/>
                  </w:tcBorders>
                  <w:noWrap/>
                  <w:vAlign w:val="center"/>
                </w:tcPr>
                <w:p w14:paraId="22CE1D2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依托</w:t>
                  </w:r>
                </w:p>
              </w:tc>
            </w:tr>
            <w:tr w14:paraId="02990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3EE6EA7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auto"/>
                      <w:sz w:val="21"/>
                      <w:szCs w:val="21"/>
                      <w:lang w:val="en-US" w:eastAsia="zh-CN"/>
                    </w:rPr>
                  </w:pPr>
                </w:p>
              </w:tc>
              <w:tc>
                <w:tcPr>
                  <w:tcW w:w="1917" w:type="dxa"/>
                  <w:gridSpan w:val="2"/>
                  <w:tcBorders>
                    <w:tl2br w:val="nil"/>
                    <w:tr2bl w:val="nil"/>
                  </w:tcBorders>
                  <w:noWrap/>
                  <w:vAlign w:val="center"/>
                </w:tcPr>
                <w:p w14:paraId="7AE321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筒仓</w:t>
                  </w:r>
                </w:p>
              </w:tc>
              <w:tc>
                <w:tcPr>
                  <w:tcW w:w="4696" w:type="dxa"/>
                  <w:tcBorders>
                    <w:tl2br w:val="nil"/>
                    <w:tr2bl w:val="nil"/>
                  </w:tcBorders>
                  <w:noWrap/>
                  <w:vAlign w:val="center"/>
                </w:tcPr>
                <w:p w14:paraId="29074B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容积</w:t>
                  </w:r>
                  <w:r>
                    <w:rPr>
                      <w:rFonts w:hint="eastAsia" w:ascii="Times New Roman" w:hAnsi="Times New Roman" w:eastAsia="宋体" w:cs="Times New Roman"/>
                      <w:color w:val="auto"/>
                      <w:kern w:val="2"/>
                      <w:sz w:val="21"/>
                      <w:szCs w:val="21"/>
                      <w:highlight w:val="none"/>
                      <w:lang w:val="en-US" w:eastAsia="zh-CN" w:bidi="ar-SA"/>
                    </w:rPr>
                    <w:t>200m</w:t>
                  </w:r>
                  <w:r>
                    <w:rPr>
                      <w:rFonts w:hint="eastAsia" w:ascii="Times New Roman" w:hAnsi="Times New Roman" w:eastAsia="宋体" w:cs="Times New Roman"/>
                      <w:color w:val="auto"/>
                      <w:kern w:val="2"/>
                      <w:sz w:val="21"/>
                      <w:szCs w:val="21"/>
                      <w:highlight w:val="none"/>
                      <w:vertAlign w:val="superscript"/>
                      <w:lang w:val="en-US" w:eastAsia="zh-CN" w:bidi="ar-SA"/>
                    </w:rPr>
                    <w:t>3</w:t>
                  </w:r>
                </w:p>
              </w:tc>
              <w:tc>
                <w:tcPr>
                  <w:tcW w:w="654" w:type="dxa"/>
                  <w:tcBorders>
                    <w:tl2br w:val="nil"/>
                    <w:tr2bl w:val="nil"/>
                  </w:tcBorders>
                  <w:noWrap/>
                  <w:vAlign w:val="center"/>
                </w:tcPr>
                <w:p w14:paraId="5209FAF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14:paraId="35D09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restart"/>
                  <w:tcBorders>
                    <w:tl2br w:val="nil"/>
                    <w:tr2bl w:val="nil"/>
                  </w:tcBorders>
                  <w:noWrap/>
                  <w:vAlign w:val="center"/>
                </w:tcPr>
                <w:p w14:paraId="21497396">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环保工程</w:t>
                  </w:r>
                </w:p>
              </w:tc>
              <w:tc>
                <w:tcPr>
                  <w:tcW w:w="515" w:type="dxa"/>
                  <w:vMerge w:val="restart"/>
                  <w:tcBorders>
                    <w:tl2br w:val="nil"/>
                    <w:tr2bl w:val="nil"/>
                  </w:tcBorders>
                  <w:noWrap/>
                  <w:vAlign w:val="center"/>
                </w:tcPr>
                <w:p w14:paraId="199F8A7D">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废气</w:t>
                  </w:r>
                </w:p>
              </w:tc>
              <w:tc>
                <w:tcPr>
                  <w:tcW w:w="1402" w:type="dxa"/>
                  <w:tcBorders>
                    <w:tl2br w:val="nil"/>
                    <w:tr2bl w:val="nil"/>
                  </w:tcBorders>
                  <w:noWrap/>
                  <w:vAlign w:val="center"/>
                </w:tcPr>
                <w:p w14:paraId="5B3A25B5">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装卸</w:t>
                  </w:r>
                  <w:r>
                    <w:rPr>
                      <w:rFonts w:hint="eastAsia" w:ascii="Times New Roman" w:hAnsi="Times New Roman" w:eastAsia="宋体" w:cs="Times New Roman"/>
                      <w:color w:val="auto"/>
                      <w:sz w:val="21"/>
                      <w:szCs w:val="21"/>
                      <w:highlight w:val="none"/>
                      <w:lang w:eastAsia="zh-CN"/>
                    </w:rPr>
                    <w:t>扬尘</w:t>
                  </w:r>
                </w:p>
              </w:tc>
              <w:tc>
                <w:tcPr>
                  <w:tcW w:w="4696" w:type="dxa"/>
                  <w:tcBorders>
                    <w:tl2br w:val="nil"/>
                    <w:tr2bl w:val="nil"/>
                  </w:tcBorders>
                  <w:noWrap/>
                  <w:vAlign w:val="center"/>
                </w:tcPr>
                <w:p w14:paraId="15582B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lang w:eastAsia="zh-CN"/>
                    </w:rPr>
                    <w:t>设全封闭</w:t>
                  </w:r>
                  <w:r>
                    <w:rPr>
                      <w:rFonts w:hint="eastAsia" w:ascii="Times New Roman" w:hAnsi="Times New Roman" w:eastAsia="宋体" w:cs="Times New Roman"/>
                      <w:color w:val="auto"/>
                      <w:sz w:val="21"/>
                      <w:szCs w:val="21"/>
                      <w:highlight w:val="none"/>
                      <w:lang w:val="en-US" w:eastAsia="zh-CN"/>
                    </w:rPr>
                    <w:t>车间，车辆出入口采用自动感应密闭门，</w:t>
                  </w:r>
                  <w:r>
                    <w:rPr>
                      <w:rFonts w:hint="default" w:ascii="Times New Roman" w:hAnsi="Times New Roman" w:eastAsia="宋体" w:cs="Times New Roman"/>
                      <w:b w:val="0"/>
                      <w:bCs w:val="0"/>
                      <w:color w:val="auto"/>
                      <w:sz w:val="21"/>
                      <w:szCs w:val="21"/>
                      <w:u w:val="none"/>
                      <w:vertAlign w:val="baseline"/>
                      <w:lang w:val="en-US" w:eastAsia="zh-CN"/>
                    </w:rPr>
                    <w:t>生产车间</w:t>
                  </w:r>
                  <w:r>
                    <w:rPr>
                      <w:rFonts w:hint="eastAsia" w:ascii="Times New Roman" w:hAnsi="Times New Roman" w:eastAsia="宋体" w:cs="Times New Roman"/>
                      <w:b w:val="0"/>
                      <w:bCs w:val="0"/>
                      <w:color w:val="auto"/>
                      <w:sz w:val="21"/>
                      <w:szCs w:val="21"/>
                      <w:u w:val="none"/>
                      <w:vertAlign w:val="baseline"/>
                      <w:lang w:val="en-US" w:eastAsia="zh-CN"/>
                    </w:rPr>
                    <w:t>、原料区</w:t>
                  </w:r>
                  <w:r>
                    <w:rPr>
                      <w:rFonts w:hint="default" w:ascii="Times New Roman" w:hAnsi="Times New Roman" w:eastAsia="宋体" w:cs="Times New Roman"/>
                      <w:b w:val="0"/>
                      <w:bCs w:val="0"/>
                      <w:color w:val="auto"/>
                      <w:sz w:val="21"/>
                      <w:szCs w:val="21"/>
                      <w:u w:val="none"/>
                      <w:vertAlign w:val="baseline"/>
                      <w:lang w:val="en-US" w:eastAsia="zh-CN"/>
                    </w:rPr>
                    <w:t>进出门应安装颗粒物监测微站和门禁视频监控</w:t>
                  </w:r>
                </w:p>
              </w:tc>
              <w:tc>
                <w:tcPr>
                  <w:tcW w:w="654" w:type="dxa"/>
                  <w:tcBorders>
                    <w:tl2br w:val="nil"/>
                    <w:tr2bl w:val="nil"/>
                  </w:tcBorders>
                  <w:noWrap/>
                  <w:vAlign w:val="center"/>
                </w:tcPr>
                <w:p w14:paraId="787757A2">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49B3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dxa"/>
                  <w:vMerge w:val="continue"/>
                  <w:tcBorders>
                    <w:tl2br w:val="nil"/>
                    <w:tr2bl w:val="nil"/>
                  </w:tcBorders>
                  <w:noWrap/>
                  <w:vAlign w:val="center"/>
                </w:tcPr>
                <w:p w14:paraId="693F4DE1">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vMerge w:val="continue"/>
                  <w:tcBorders>
                    <w:tl2br w:val="nil"/>
                    <w:tr2bl w:val="nil"/>
                  </w:tcBorders>
                  <w:noWrap/>
                  <w:vAlign w:val="center"/>
                </w:tcPr>
                <w:p w14:paraId="153C3922">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p>
              </w:tc>
              <w:tc>
                <w:tcPr>
                  <w:tcW w:w="1402" w:type="dxa"/>
                  <w:tcBorders>
                    <w:tl2br w:val="nil"/>
                    <w:tr2bl w:val="nil"/>
                  </w:tcBorders>
                  <w:noWrap/>
                  <w:vAlign w:val="center"/>
                </w:tcPr>
                <w:p w14:paraId="1A0376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道路扬尘</w:t>
                  </w:r>
                </w:p>
              </w:tc>
              <w:tc>
                <w:tcPr>
                  <w:tcW w:w="4696" w:type="dxa"/>
                  <w:tcBorders>
                    <w:tl2br w:val="nil"/>
                    <w:tr2bl w:val="nil"/>
                  </w:tcBorders>
                  <w:noWrap/>
                  <w:vAlign w:val="center"/>
                </w:tcPr>
                <w:p w14:paraId="0077BFF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z w:val="21"/>
                      <w:szCs w:val="21"/>
                      <w:lang w:val="en-US" w:eastAsia="zh-CN"/>
                    </w:rPr>
                    <w:t>依托现有洗车平台</w:t>
                  </w:r>
                  <w:r>
                    <w:rPr>
                      <w:rFonts w:hint="eastAsia" w:ascii="Times New Roman" w:hAnsi="Times New Roman" w:eastAsia="宋体" w:cs="Times New Roman"/>
                      <w:color w:val="auto"/>
                      <w:sz w:val="21"/>
                      <w:szCs w:val="21"/>
                      <w:highlight w:val="none"/>
                      <w:lang w:val="en-US" w:eastAsia="zh-CN"/>
                    </w:rPr>
                    <w:t>，运输车辆减速行驶</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运输车辆采用国五、国六运输车辆，装载机等非移动机械采用国三标准</w:t>
                  </w:r>
                  <w:r>
                    <w:rPr>
                      <w:rFonts w:hint="eastAsia" w:ascii="Times New Roman" w:hAnsi="Times New Roman" w:eastAsia="宋体" w:cs="Times New Roman"/>
                      <w:color w:val="auto"/>
                      <w:sz w:val="21"/>
                      <w:szCs w:val="21"/>
                      <w:highlight w:val="none"/>
                      <w:lang w:eastAsia="zh-CN"/>
                    </w:rPr>
                    <w:t>）</w:t>
                  </w:r>
                </w:p>
              </w:tc>
              <w:tc>
                <w:tcPr>
                  <w:tcW w:w="654" w:type="dxa"/>
                  <w:tcBorders>
                    <w:tl2br w:val="nil"/>
                    <w:tr2bl w:val="nil"/>
                  </w:tcBorders>
                  <w:noWrap/>
                  <w:vAlign w:val="center"/>
                </w:tcPr>
                <w:p w14:paraId="6C8333BE">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1C409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12CE14A1">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vMerge w:val="continue"/>
                  <w:tcBorders>
                    <w:tl2br w:val="nil"/>
                    <w:tr2bl w:val="nil"/>
                  </w:tcBorders>
                  <w:noWrap/>
                  <w:vAlign w:val="center"/>
                </w:tcPr>
                <w:p w14:paraId="2BAAA06D">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p>
              </w:tc>
              <w:tc>
                <w:tcPr>
                  <w:tcW w:w="1402" w:type="dxa"/>
                  <w:tcBorders>
                    <w:tl2br w:val="nil"/>
                    <w:tr2bl w:val="nil"/>
                  </w:tcBorders>
                  <w:noWrap/>
                  <w:vAlign w:val="center"/>
                </w:tcPr>
                <w:p w14:paraId="30AAAD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输送粉尘</w:t>
                  </w:r>
                </w:p>
              </w:tc>
              <w:tc>
                <w:tcPr>
                  <w:tcW w:w="4696" w:type="dxa"/>
                  <w:tcBorders>
                    <w:tl2br w:val="nil"/>
                    <w:tr2bl w:val="nil"/>
                  </w:tcBorders>
                  <w:noWrap/>
                  <w:vAlign w:val="center"/>
                </w:tcPr>
                <w:p w14:paraId="3B5EE5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输送皮带全封闭</w:t>
                  </w:r>
                </w:p>
              </w:tc>
              <w:tc>
                <w:tcPr>
                  <w:tcW w:w="654" w:type="dxa"/>
                  <w:tcBorders>
                    <w:tl2br w:val="nil"/>
                    <w:tr2bl w:val="nil"/>
                  </w:tcBorders>
                  <w:noWrap/>
                  <w:vAlign w:val="center"/>
                </w:tcPr>
                <w:p w14:paraId="7FC87666">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32636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767" w:type="dxa"/>
                  <w:vMerge w:val="continue"/>
                  <w:tcBorders>
                    <w:tl2br w:val="nil"/>
                    <w:tr2bl w:val="nil"/>
                  </w:tcBorders>
                  <w:noWrap/>
                  <w:vAlign w:val="center"/>
                </w:tcPr>
                <w:p w14:paraId="71C07D9F">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vMerge w:val="continue"/>
                  <w:tcBorders>
                    <w:tl2br w:val="nil"/>
                    <w:tr2bl w:val="nil"/>
                  </w:tcBorders>
                  <w:noWrap/>
                  <w:vAlign w:val="center"/>
                </w:tcPr>
                <w:p w14:paraId="2234E52C">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p>
              </w:tc>
              <w:tc>
                <w:tcPr>
                  <w:tcW w:w="1402" w:type="dxa"/>
                  <w:tcBorders>
                    <w:tl2br w:val="nil"/>
                    <w:tr2bl w:val="nil"/>
                  </w:tcBorders>
                  <w:noWrap/>
                  <w:vAlign w:val="center"/>
                </w:tcPr>
                <w:p w14:paraId="4CDD9A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破碎</w:t>
                  </w:r>
                  <w:r>
                    <w:rPr>
                      <w:rFonts w:hint="eastAsia" w:ascii="Times New Roman" w:hAnsi="Times New Roman" w:eastAsia="宋体" w:cs="Times New Roman"/>
                      <w:color w:val="auto"/>
                      <w:sz w:val="21"/>
                      <w:szCs w:val="21"/>
                      <w:highlight w:val="none"/>
                      <w:lang w:val="en-US" w:eastAsia="zh-CN"/>
                    </w:rPr>
                    <w:t>粉尘</w:t>
                  </w:r>
                </w:p>
              </w:tc>
              <w:tc>
                <w:tcPr>
                  <w:tcW w:w="4696" w:type="dxa"/>
                  <w:vMerge w:val="restart"/>
                  <w:tcBorders>
                    <w:tl2br w:val="nil"/>
                    <w:tr2bl w:val="nil"/>
                  </w:tcBorders>
                  <w:noWrap/>
                  <w:vAlign w:val="center"/>
                </w:tcPr>
                <w:p w14:paraId="75D80B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拟在上料机及破碎机设置2个集尘罩，筒仓全密闭设置集气管道，经1台布袋除尘器处理后通过1根15m高排气筒（DA001）排放。</w:t>
                  </w:r>
                </w:p>
              </w:tc>
              <w:tc>
                <w:tcPr>
                  <w:tcW w:w="654" w:type="dxa"/>
                  <w:tcBorders>
                    <w:tl2br w:val="nil"/>
                    <w:tr2bl w:val="nil"/>
                  </w:tcBorders>
                  <w:noWrap/>
                  <w:vAlign w:val="center"/>
                </w:tcPr>
                <w:p w14:paraId="385DE036">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38D3F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dxa"/>
                  <w:vMerge w:val="continue"/>
                  <w:tcBorders>
                    <w:tl2br w:val="nil"/>
                    <w:tr2bl w:val="nil"/>
                  </w:tcBorders>
                  <w:noWrap/>
                  <w:vAlign w:val="center"/>
                </w:tcPr>
                <w:p w14:paraId="16EDE82E">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vMerge w:val="continue"/>
                  <w:tcBorders>
                    <w:tl2br w:val="nil"/>
                    <w:tr2bl w:val="nil"/>
                  </w:tcBorders>
                  <w:noWrap/>
                  <w:vAlign w:val="center"/>
                </w:tcPr>
                <w:p w14:paraId="77ACE262">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p>
              </w:tc>
              <w:tc>
                <w:tcPr>
                  <w:tcW w:w="1402" w:type="dxa"/>
                  <w:tcBorders>
                    <w:tl2br w:val="nil"/>
                    <w:tr2bl w:val="nil"/>
                  </w:tcBorders>
                  <w:noWrap/>
                  <w:vAlign w:val="center"/>
                </w:tcPr>
                <w:p w14:paraId="04EF94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筒仓粉尘</w:t>
                  </w:r>
                </w:p>
              </w:tc>
              <w:tc>
                <w:tcPr>
                  <w:tcW w:w="4696" w:type="dxa"/>
                  <w:vMerge w:val="continue"/>
                  <w:tcBorders>
                    <w:tl2br w:val="nil"/>
                    <w:tr2bl w:val="nil"/>
                  </w:tcBorders>
                  <w:noWrap/>
                  <w:vAlign w:val="center"/>
                </w:tcPr>
                <w:p w14:paraId="0BD1A57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p>
              </w:tc>
              <w:tc>
                <w:tcPr>
                  <w:tcW w:w="654" w:type="dxa"/>
                  <w:tcBorders>
                    <w:tl2br w:val="nil"/>
                    <w:tr2bl w:val="nil"/>
                  </w:tcBorders>
                  <w:noWrap/>
                  <w:vAlign w:val="center"/>
                </w:tcPr>
                <w:p w14:paraId="02436EEC">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582F0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dxa"/>
                  <w:vMerge w:val="continue"/>
                  <w:tcBorders>
                    <w:tl2br w:val="nil"/>
                    <w:tr2bl w:val="nil"/>
                  </w:tcBorders>
                  <w:noWrap/>
                  <w:vAlign w:val="center"/>
                </w:tcPr>
                <w:p w14:paraId="57002704">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tcBorders>
                    <w:tl2br w:val="nil"/>
                    <w:tr2bl w:val="nil"/>
                  </w:tcBorders>
                  <w:noWrap/>
                  <w:vAlign w:val="center"/>
                </w:tcPr>
                <w:p w14:paraId="6F8CD91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废水</w:t>
                  </w:r>
                </w:p>
              </w:tc>
              <w:tc>
                <w:tcPr>
                  <w:tcW w:w="1402" w:type="dxa"/>
                  <w:tcBorders>
                    <w:tl2br w:val="nil"/>
                    <w:tr2bl w:val="nil"/>
                  </w:tcBorders>
                  <w:noWrap/>
                  <w:vAlign w:val="center"/>
                </w:tcPr>
                <w:p w14:paraId="6C0C28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初期雨水</w:t>
                  </w:r>
                </w:p>
              </w:tc>
              <w:tc>
                <w:tcPr>
                  <w:tcW w:w="4696" w:type="dxa"/>
                  <w:tcBorders>
                    <w:tl2br w:val="nil"/>
                    <w:tr2bl w:val="nil"/>
                  </w:tcBorders>
                  <w:noWrap/>
                  <w:vAlign w:val="center"/>
                </w:tcPr>
                <w:p w14:paraId="481A73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设置200m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初期雨水池</w:t>
                  </w:r>
                </w:p>
              </w:tc>
              <w:tc>
                <w:tcPr>
                  <w:tcW w:w="654" w:type="dxa"/>
                  <w:tcBorders>
                    <w:tl2br w:val="nil"/>
                    <w:tr2bl w:val="nil"/>
                  </w:tcBorders>
                  <w:noWrap/>
                  <w:vAlign w:val="center"/>
                </w:tcPr>
                <w:p w14:paraId="1241C384">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6A5EB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4E0DE74C">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tcBorders>
                    <w:tl2br w:val="nil"/>
                    <w:tr2bl w:val="nil"/>
                  </w:tcBorders>
                  <w:noWrap/>
                  <w:vAlign w:val="center"/>
                </w:tcPr>
                <w:p w14:paraId="0E7D49F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噪声</w:t>
                  </w:r>
                </w:p>
              </w:tc>
              <w:tc>
                <w:tcPr>
                  <w:tcW w:w="1402" w:type="dxa"/>
                  <w:tcBorders>
                    <w:tl2br w:val="nil"/>
                    <w:tr2bl w:val="nil"/>
                  </w:tcBorders>
                  <w:noWrap/>
                  <w:vAlign w:val="center"/>
                </w:tcPr>
                <w:p w14:paraId="7988C92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rPr>
                    <w:t>运输车辆、装载机等</w:t>
                  </w:r>
                  <w:r>
                    <w:rPr>
                      <w:rFonts w:hint="eastAsia" w:ascii="Times New Roman" w:hAnsi="Times New Roman" w:eastAsia="宋体" w:cs="Times New Roman"/>
                      <w:color w:val="auto"/>
                      <w:sz w:val="21"/>
                      <w:szCs w:val="21"/>
                      <w:highlight w:val="none"/>
                      <w:lang w:val="en-US" w:eastAsia="zh-CN"/>
                    </w:rPr>
                    <w:t>噪声源</w:t>
                  </w:r>
                </w:p>
              </w:tc>
              <w:tc>
                <w:tcPr>
                  <w:tcW w:w="4696" w:type="dxa"/>
                  <w:tcBorders>
                    <w:tl2br w:val="nil"/>
                    <w:tr2bl w:val="nil"/>
                  </w:tcBorders>
                  <w:noWrap/>
                  <w:vAlign w:val="center"/>
                </w:tcPr>
                <w:p w14:paraId="04E8E077">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选用低噪设备、生产设备全部位于室内，</w:t>
                  </w:r>
                  <w:r>
                    <w:rPr>
                      <w:rFonts w:hint="eastAsia" w:ascii="Times New Roman" w:hAnsi="Times New Roman" w:eastAsia="宋体" w:cs="Times New Roman"/>
                      <w:color w:val="auto"/>
                      <w:sz w:val="21"/>
                      <w:szCs w:val="21"/>
                      <w:highlight w:val="none"/>
                      <w:lang w:val="en-US" w:eastAsia="zh-CN"/>
                    </w:rPr>
                    <w:t>设置</w:t>
                  </w:r>
                  <w:r>
                    <w:rPr>
                      <w:rFonts w:hint="eastAsia" w:ascii="Times New Roman" w:hAnsi="Times New Roman" w:eastAsia="宋体" w:cs="Times New Roman"/>
                      <w:color w:val="auto"/>
                      <w:sz w:val="21"/>
                      <w:szCs w:val="21"/>
                      <w:highlight w:val="none"/>
                      <w:lang w:eastAsia="zh-CN"/>
                    </w:rPr>
                    <w:t>基础减震、建筑物隔声等</w:t>
                  </w:r>
                  <w:r>
                    <w:rPr>
                      <w:rFonts w:hint="eastAsia" w:ascii="Times New Roman" w:hAnsi="Times New Roman" w:eastAsia="宋体" w:cs="Times New Roman"/>
                      <w:color w:val="auto"/>
                      <w:sz w:val="21"/>
                      <w:szCs w:val="21"/>
                      <w:highlight w:val="none"/>
                      <w:lang w:val="en-US" w:eastAsia="zh-CN"/>
                    </w:rPr>
                    <w:t>措施</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lang w:eastAsia="zh-CN"/>
                    </w:rPr>
                    <w:t>运输车辆限速、禁鸣笛；装载机定期维护保持良好工况</w:t>
                  </w:r>
                </w:p>
              </w:tc>
              <w:tc>
                <w:tcPr>
                  <w:tcW w:w="654" w:type="dxa"/>
                  <w:tcBorders>
                    <w:tl2br w:val="nil"/>
                    <w:tr2bl w:val="nil"/>
                  </w:tcBorders>
                  <w:noWrap/>
                  <w:vAlign w:val="center"/>
                </w:tcPr>
                <w:p w14:paraId="0EB810CD">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新建</w:t>
                  </w:r>
                </w:p>
              </w:tc>
            </w:tr>
            <w:tr w14:paraId="4E81D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6039BE6F">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vMerge w:val="restart"/>
                  <w:tcBorders>
                    <w:tl2br w:val="nil"/>
                    <w:tr2bl w:val="nil"/>
                  </w:tcBorders>
                  <w:noWrap/>
                  <w:vAlign w:val="center"/>
                </w:tcPr>
                <w:p w14:paraId="2F5C9C8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固体废物</w:t>
                  </w:r>
                </w:p>
              </w:tc>
              <w:tc>
                <w:tcPr>
                  <w:tcW w:w="1402" w:type="dxa"/>
                  <w:tcBorders>
                    <w:tl2br w:val="nil"/>
                    <w:tr2bl w:val="nil"/>
                  </w:tcBorders>
                  <w:noWrap/>
                  <w:vAlign w:val="center"/>
                </w:tcPr>
                <w:p w14:paraId="7CA6F31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除尘灰</w:t>
                  </w:r>
                </w:p>
              </w:tc>
              <w:tc>
                <w:tcPr>
                  <w:tcW w:w="4696" w:type="dxa"/>
                  <w:tcBorders>
                    <w:tl2br w:val="nil"/>
                    <w:tr2bl w:val="nil"/>
                  </w:tcBorders>
                  <w:shd w:val="clear" w:color="auto" w:fill="auto"/>
                  <w:noWrap/>
                  <w:vAlign w:val="center"/>
                </w:tcPr>
                <w:p w14:paraId="566A5E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作为产品外售</w:t>
                  </w:r>
                </w:p>
              </w:tc>
              <w:tc>
                <w:tcPr>
                  <w:tcW w:w="654" w:type="dxa"/>
                  <w:tcBorders>
                    <w:tl2br w:val="nil"/>
                    <w:tr2bl w:val="nil"/>
                  </w:tcBorders>
                  <w:shd w:val="clear" w:color="auto" w:fill="auto"/>
                  <w:noWrap/>
                  <w:vAlign w:val="center"/>
                </w:tcPr>
                <w:p w14:paraId="30958284">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val="en-US" w:eastAsia="en-US" w:bidi="ar-SA"/>
                    </w:rPr>
                  </w:pPr>
                  <w:r>
                    <w:rPr>
                      <w:rFonts w:ascii="Times New Roman" w:hAnsi="Times New Roman" w:eastAsia="宋体" w:cs="Times New Roman"/>
                      <w:color w:val="auto"/>
                      <w:sz w:val="21"/>
                      <w:szCs w:val="21"/>
                    </w:rPr>
                    <w:t>新建</w:t>
                  </w:r>
                </w:p>
              </w:tc>
            </w:tr>
            <w:tr w14:paraId="74F24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dxa"/>
                  <w:vMerge w:val="continue"/>
                  <w:tcBorders>
                    <w:tl2br w:val="nil"/>
                    <w:tr2bl w:val="nil"/>
                  </w:tcBorders>
                  <w:noWrap/>
                  <w:vAlign w:val="center"/>
                </w:tcPr>
                <w:p w14:paraId="49355632">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515" w:type="dxa"/>
                  <w:vMerge w:val="continue"/>
                  <w:tcBorders>
                    <w:tl2br w:val="nil"/>
                    <w:tr2bl w:val="nil"/>
                  </w:tcBorders>
                  <w:noWrap/>
                  <w:vAlign w:val="center"/>
                </w:tcPr>
                <w:p w14:paraId="342A48F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p>
              </w:tc>
              <w:tc>
                <w:tcPr>
                  <w:tcW w:w="1402" w:type="dxa"/>
                  <w:tcBorders>
                    <w:tl2br w:val="nil"/>
                    <w:tr2bl w:val="nil"/>
                  </w:tcBorders>
                  <w:noWrap/>
                  <w:vAlign w:val="center"/>
                </w:tcPr>
                <w:p w14:paraId="02DEE37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w:t>
                  </w:r>
                </w:p>
              </w:tc>
              <w:tc>
                <w:tcPr>
                  <w:tcW w:w="4696" w:type="dxa"/>
                  <w:tcBorders>
                    <w:tl2br w:val="nil"/>
                    <w:tr2bl w:val="nil"/>
                  </w:tcBorders>
                  <w:noWrap/>
                  <w:vAlign w:val="center"/>
                </w:tcPr>
                <w:p w14:paraId="253C802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废矿物油及废油桶暂存于现有10m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危险废物临时贮存库并交由资质单位处置</w:t>
                  </w:r>
                </w:p>
              </w:tc>
              <w:tc>
                <w:tcPr>
                  <w:tcW w:w="654" w:type="dxa"/>
                  <w:tcBorders>
                    <w:tl2br w:val="nil"/>
                    <w:tr2bl w:val="nil"/>
                  </w:tcBorders>
                  <w:noWrap/>
                  <w:vAlign w:val="center"/>
                </w:tcPr>
                <w:p w14:paraId="556C4C31">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新建</w:t>
                  </w:r>
                </w:p>
              </w:tc>
            </w:tr>
            <w:tr w14:paraId="4799D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7B50E34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1917" w:type="dxa"/>
                  <w:gridSpan w:val="2"/>
                  <w:tcBorders>
                    <w:tl2br w:val="nil"/>
                    <w:tr2bl w:val="nil"/>
                  </w:tcBorders>
                  <w:noWrap/>
                  <w:vAlign w:val="center"/>
                </w:tcPr>
                <w:p w14:paraId="701613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环境风险</w:t>
                  </w:r>
                </w:p>
              </w:tc>
              <w:tc>
                <w:tcPr>
                  <w:tcW w:w="4696" w:type="dxa"/>
                  <w:tcBorders>
                    <w:tl2br w:val="nil"/>
                    <w:tr2bl w:val="nil"/>
                  </w:tcBorders>
                  <w:noWrap/>
                  <w:vAlign w:val="center"/>
                </w:tcPr>
                <w:p w14:paraId="708F935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lang w:eastAsia="zh-CN"/>
                    </w:rPr>
                    <w:t>为了防范事故和减少危害，制定</w:t>
                  </w:r>
                  <w:r>
                    <w:rPr>
                      <w:rFonts w:hint="eastAsia" w:ascii="Times New Roman" w:hAnsi="Times New Roman" w:eastAsia="宋体" w:cs="Times New Roman"/>
                      <w:color w:val="auto"/>
                      <w:sz w:val="21"/>
                      <w:szCs w:val="21"/>
                      <w:lang w:val="en-US" w:eastAsia="zh-CN"/>
                    </w:rPr>
                    <w:t>突发环境事件</w:t>
                  </w:r>
                  <w:r>
                    <w:rPr>
                      <w:rFonts w:ascii="Times New Roman" w:hAnsi="Times New Roman" w:eastAsia="宋体" w:cs="Times New Roman"/>
                      <w:color w:val="auto"/>
                      <w:sz w:val="21"/>
                      <w:szCs w:val="21"/>
                      <w:lang w:eastAsia="zh-CN"/>
                    </w:rPr>
                    <w:t>应急预案。发生事故时，采取相应的应急措施，以控制事故和减少对环境造成的危害</w:t>
                  </w:r>
                  <w:r>
                    <w:rPr>
                      <w:rFonts w:hint="eastAsia" w:ascii="Times New Roman" w:hAnsi="Times New Roman" w:eastAsia="宋体" w:cs="Times New Roman"/>
                      <w:color w:val="000000" w:themeColor="text1"/>
                      <w:sz w:val="21"/>
                      <w:szCs w:val="21"/>
                      <w:highlight w:val="none"/>
                      <w:lang w:eastAsia="zh-CN"/>
                    </w:rPr>
                    <w:t>。</w:t>
                  </w:r>
                </w:p>
              </w:tc>
              <w:tc>
                <w:tcPr>
                  <w:tcW w:w="654" w:type="dxa"/>
                  <w:tcBorders>
                    <w:tl2br w:val="nil"/>
                    <w:tr2bl w:val="nil"/>
                  </w:tcBorders>
                  <w:noWrap/>
                  <w:vAlign w:val="center"/>
                </w:tcPr>
                <w:p w14:paraId="60C86F98">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新建</w:t>
                  </w:r>
                </w:p>
              </w:tc>
            </w:tr>
            <w:tr w14:paraId="53D45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restart"/>
                  <w:tcBorders>
                    <w:tl2br w:val="nil"/>
                    <w:tr2bl w:val="nil"/>
                  </w:tcBorders>
                  <w:noWrap/>
                  <w:vAlign w:val="center"/>
                </w:tcPr>
                <w:p w14:paraId="757398D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依托工程</w:t>
                  </w:r>
                </w:p>
              </w:tc>
              <w:tc>
                <w:tcPr>
                  <w:tcW w:w="1917" w:type="dxa"/>
                  <w:gridSpan w:val="2"/>
                  <w:tcBorders>
                    <w:tl2br w:val="nil"/>
                    <w:tr2bl w:val="nil"/>
                  </w:tcBorders>
                  <w:noWrap/>
                  <w:vAlign w:val="center"/>
                </w:tcPr>
                <w:p w14:paraId="47EC1BD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办公生活区</w:t>
                  </w:r>
                </w:p>
              </w:tc>
              <w:tc>
                <w:tcPr>
                  <w:tcW w:w="4696" w:type="dxa"/>
                  <w:tcBorders>
                    <w:tl2br w:val="nil"/>
                    <w:tr2bl w:val="nil"/>
                  </w:tcBorders>
                  <w:noWrap/>
                  <w:vAlign w:val="center"/>
                </w:tcPr>
                <w:p w14:paraId="6011CFF4">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sz w:val="21"/>
                      <w:szCs w:val="21"/>
                      <w:lang w:val="en-US" w:eastAsia="zh-CN"/>
                    </w:rPr>
                    <w:t>依托现有办公楼，砖混结构，1800m</w:t>
                  </w:r>
                  <w:r>
                    <w:rPr>
                      <w:rFonts w:hint="eastAsia" w:ascii="Times New Roman" w:hAnsi="Times New Roman" w:eastAsia="宋体" w:cs="Times New Roman"/>
                      <w:bCs/>
                      <w:color w:val="auto"/>
                      <w:sz w:val="21"/>
                      <w:szCs w:val="21"/>
                      <w:vertAlign w:val="superscript"/>
                      <w:lang w:val="en-US" w:eastAsia="zh-CN"/>
                    </w:rPr>
                    <w:t>2</w:t>
                  </w:r>
                  <w:r>
                    <w:rPr>
                      <w:rFonts w:hint="eastAsia" w:ascii="Times New Roman" w:hAnsi="Times New Roman" w:eastAsia="宋体" w:cs="Times New Roman"/>
                      <w:bCs/>
                      <w:color w:val="auto"/>
                      <w:sz w:val="21"/>
                      <w:szCs w:val="21"/>
                      <w:lang w:val="en-US" w:eastAsia="zh-CN"/>
                    </w:rPr>
                    <w:t>，2F</w:t>
                  </w:r>
                </w:p>
              </w:tc>
              <w:tc>
                <w:tcPr>
                  <w:tcW w:w="654" w:type="dxa"/>
                  <w:tcBorders>
                    <w:tl2br w:val="nil"/>
                    <w:tr2bl w:val="nil"/>
                  </w:tcBorders>
                  <w:noWrap/>
                  <w:vAlign w:val="center"/>
                </w:tcPr>
                <w:p w14:paraId="3224BD93">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依托</w:t>
                  </w:r>
                </w:p>
              </w:tc>
            </w:tr>
            <w:tr w14:paraId="2DCA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61422F9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p>
              </w:tc>
              <w:tc>
                <w:tcPr>
                  <w:tcW w:w="1917" w:type="dxa"/>
                  <w:gridSpan w:val="2"/>
                  <w:tcBorders>
                    <w:tl2br w:val="nil"/>
                    <w:tr2bl w:val="nil"/>
                  </w:tcBorders>
                  <w:noWrap/>
                  <w:vAlign w:val="center"/>
                </w:tcPr>
                <w:p w14:paraId="67F5C38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bidi="ar-SA"/>
                    </w:rPr>
                  </w:pPr>
                  <w:r>
                    <w:rPr>
                      <w:rFonts w:ascii="Times New Roman" w:hAnsi="Times New Roman" w:eastAsia="宋体" w:cs="Times New Roman"/>
                      <w:color w:val="auto"/>
                      <w:sz w:val="21"/>
                      <w:szCs w:val="21"/>
                    </w:rPr>
                    <w:t>洗车平台</w:t>
                  </w:r>
                </w:p>
              </w:tc>
              <w:tc>
                <w:tcPr>
                  <w:tcW w:w="4696" w:type="dxa"/>
                  <w:tcBorders>
                    <w:tl2br w:val="nil"/>
                    <w:tr2bl w:val="nil"/>
                  </w:tcBorders>
                  <w:noWrap/>
                  <w:vAlign w:val="center"/>
                </w:tcPr>
                <w:p w14:paraId="7332EC92">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bCs/>
                      <w:color w:val="auto"/>
                      <w:sz w:val="21"/>
                      <w:szCs w:val="21"/>
                      <w:lang w:val="en-US" w:eastAsia="zh-CN"/>
                    </w:rPr>
                    <w:t>依托现有洗车平台</w:t>
                  </w:r>
                </w:p>
              </w:tc>
              <w:tc>
                <w:tcPr>
                  <w:tcW w:w="654" w:type="dxa"/>
                  <w:tcBorders>
                    <w:tl2br w:val="nil"/>
                    <w:tr2bl w:val="nil"/>
                  </w:tcBorders>
                  <w:noWrap/>
                  <w:vAlign w:val="center"/>
                </w:tcPr>
                <w:p w14:paraId="1CD0ADF3">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依托</w:t>
                  </w:r>
                </w:p>
              </w:tc>
            </w:tr>
            <w:tr w14:paraId="24E01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555915F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1917" w:type="dxa"/>
                  <w:gridSpan w:val="2"/>
                  <w:tcBorders>
                    <w:tl2br w:val="nil"/>
                    <w:tr2bl w:val="nil"/>
                  </w:tcBorders>
                  <w:noWrap/>
                  <w:vAlign w:val="center"/>
                </w:tcPr>
                <w:p w14:paraId="3C008BD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地磅</w:t>
                  </w:r>
                </w:p>
              </w:tc>
              <w:tc>
                <w:tcPr>
                  <w:tcW w:w="4696" w:type="dxa"/>
                  <w:tcBorders>
                    <w:tl2br w:val="nil"/>
                    <w:tr2bl w:val="nil"/>
                  </w:tcBorders>
                  <w:noWrap/>
                  <w:vAlign w:val="center"/>
                </w:tcPr>
                <w:p w14:paraId="2C1D7EB3">
                  <w:pPr>
                    <w:keepNext w:val="0"/>
                    <w:keepLines w:val="0"/>
                    <w:pageBreakBefore w:val="0"/>
                    <w:widowControl w:val="0"/>
                    <w:tabs>
                      <w:tab w:val="left" w:pos="1997"/>
                    </w:tabs>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sz w:val="21"/>
                      <w:szCs w:val="21"/>
                      <w:lang w:val="en-US" w:eastAsia="zh-CN"/>
                    </w:rPr>
                    <w:t>依托现有</w:t>
                  </w:r>
                  <w:r>
                    <w:rPr>
                      <w:rFonts w:hint="eastAsia" w:ascii="Times New Roman" w:hAnsi="Times New Roman" w:eastAsia="宋体" w:cs="Times New Roman"/>
                      <w:color w:val="auto"/>
                      <w:sz w:val="21"/>
                      <w:szCs w:val="21"/>
                      <w:lang w:val="en-US" w:eastAsia="zh-CN"/>
                    </w:rPr>
                    <w:t>地磅</w:t>
                  </w:r>
                </w:p>
              </w:tc>
              <w:tc>
                <w:tcPr>
                  <w:tcW w:w="654" w:type="dxa"/>
                  <w:tcBorders>
                    <w:tl2br w:val="nil"/>
                    <w:tr2bl w:val="nil"/>
                  </w:tcBorders>
                  <w:noWrap/>
                  <w:vAlign w:val="center"/>
                </w:tcPr>
                <w:p w14:paraId="5828D3BF">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依托</w:t>
                  </w:r>
                </w:p>
              </w:tc>
            </w:tr>
            <w:tr w14:paraId="4C18D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7" w:type="dxa"/>
                  <w:vMerge w:val="continue"/>
                  <w:tcBorders>
                    <w:tl2br w:val="nil"/>
                    <w:tr2bl w:val="nil"/>
                  </w:tcBorders>
                  <w:noWrap/>
                  <w:vAlign w:val="center"/>
                </w:tcPr>
                <w:p w14:paraId="6EF2B5C6">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rPr>
                  </w:pPr>
                </w:p>
              </w:tc>
              <w:tc>
                <w:tcPr>
                  <w:tcW w:w="1917" w:type="dxa"/>
                  <w:gridSpan w:val="2"/>
                  <w:tcBorders>
                    <w:tl2br w:val="nil"/>
                    <w:tr2bl w:val="nil"/>
                  </w:tcBorders>
                  <w:noWrap/>
                  <w:vAlign w:val="center"/>
                </w:tcPr>
                <w:p w14:paraId="3AE05DF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供电</w:t>
                  </w:r>
                </w:p>
              </w:tc>
              <w:tc>
                <w:tcPr>
                  <w:tcW w:w="4696" w:type="dxa"/>
                  <w:tcBorders>
                    <w:tl2br w:val="nil"/>
                    <w:tr2bl w:val="nil"/>
                  </w:tcBorders>
                  <w:noWrap/>
                  <w:vAlign w:val="center"/>
                </w:tcPr>
                <w:p w14:paraId="73FC11A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eastAsia="zh-CN"/>
                    </w:rPr>
                    <w:t>由长钢集团变电站提供</w:t>
                  </w:r>
                  <w:r>
                    <w:rPr>
                      <w:rFonts w:hint="eastAsia" w:ascii="Times New Roman" w:hAnsi="Times New Roman" w:eastAsia="宋体" w:cs="Times New Roman"/>
                      <w:color w:val="auto"/>
                      <w:sz w:val="21"/>
                      <w:szCs w:val="21"/>
                      <w:lang w:val="en-US" w:eastAsia="zh-CN"/>
                    </w:rPr>
                    <w:t>，依托</w:t>
                  </w:r>
                  <w:r>
                    <w:rPr>
                      <w:rFonts w:hint="eastAsia" w:ascii="Times New Roman" w:hAnsi="Times New Roman" w:eastAsia="宋体" w:cs="Times New Roman"/>
                      <w:bCs/>
                      <w:color w:val="auto"/>
                      <w:sz w:val="21"/>
                      <w:szCs w:val="21"/>
                      <w:lang w:val="en-US" w:eastAsia="zh-CN"/>
                    </w:rPr>
                    <w:t>现有变压器</w:t>
                  </w:r>
                </w:p>
              </w:tc>
              <w:tc>
                <w:tcPr>
                  <w:tcW w:w="654" w:type="dxa"/>
                  <w:tcBorders>
                    <w:tl2br w:val="nil"/>
                    <w:tr2bl w:val="nil"/>
                  </w:tcBorders>
                  <w:noWrap/>
                  <w:vAlign w:val="center"/>
                </w:tcPr>
                <w:p w14:paraId="646532DB">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依托</w:t>
                  </w:r>
                </w:p>
              </w:tc>
            </w:tr>
          </w:tbl>
          <w:p w14:paraId="6FB0F34B">
            <w:pPr>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sz w:val="24"/>
                <w:szCs w:val="24"/>
                <w:lang w:val="en-US" w:eastAsia="zh-CN"/>
              </w:rPr>
              <w:t>2.1</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sz w:val="24"/>
                <w:szCs w:val="24"/>
                <w:lang w:val="en-US" w:eastAsia="zh-CN"/>
              </w:rPr>
              <w:t>本工程与现有工程衔接关系</w:t>
            </w:r>
          </w:p>
          <w:p w14:paraId="3B13A096">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对照《潞城市瑞兴冶金熔剂有限公司“三同时”竣工环境保护验收报告》及现场勘察，本项目与现有工程衔接关系如下：</w:t>
            </w:r>
          </w:p>
          <w:p w14:paraId="3C442449">
            <w:pPr>
              <w:spacing w:line="360" w:lineRule="auto"/>
              <w:ind w:firstLine="422" w:firstLineChars="200"/>
              <w:jc w:val="center"/>
              <w:rPr>
                <w:rFonts w:hint="default" w:ascii="Times New Roman" w:hAnsi="Times New Roman" w:eastAsia="宋体" w:cs="Times New Roman"/>
                <w:color w:val="auto"/>
                <w:sz w:val="24"/>
                <w:szCs w:val="24"/>
                <w:lang w:val="en-US" w:eastAsia="zh-CN"/>
              </w:rPr>
            </w:pPr>
            <w:r>
              <w:rPr>
                <w:rFonts w:ascii="Times New Roman" w:hAnsi="Times New Roman" w:eastAsia="宋体" w:cs="Times New Roman"/>
                <w:b/>
                <w:color w:val="auto"/>
                <w:sz w:val="21"/>
                <w:szCs w:val="21"/>
                <w:lang w:eastAsia="zh-CN"/>
              </w:rPr>
              <w:t>表</w:t>
            </w:r>
            <w:r>
              <w:rPr>
                <w:rFonts w:hint="eastAsia" w:ascii="Times New Roman" w:hAnsi="Times New Roman" w:eastAsia="宋体" w:cs="Times New Roman"/>
                <w:b/>
                <w:color w:val="auto"/>
                <w:sz w:val="21"/>
                <w:szCs w:val="21"/>
                <w:lang w:eastAsia="zh-CN"/>
              </w:rPr>
              <w:t>2</w:t>
            </w:r>
            <w:r>
              <w:rPr>
                <w:rFonts w:hint="eastAsia" w:ascii="Times New Roman" w:hAnsi="Times New Roman" w:eastAsia="宋体" w:cs="Times New Roman"/>
                <w:b/>
                <w:color w:val="auto"/>
                <w:sz w:val="21"/>
                <w:szCs w:val="21"/>
                <w:lang w:val="en-US" w:eastAsia="zh-CN"/>
              </w:rPr>
              <w:t xml:space="preserve">.1-2  </w:t>
            </w:r>
            <w:r>
              <w:rPr>
                <w:rFonts w:hint="eastAsia" w:ascii="Times New Roman" w:hAnsi="Times New Roman" w:eastAsia="宋体" w:cs="Times New Roman"/>
                <w:b/>
                <w:sz w:val="21"/>
                <w:szCs w:val="21"/>
              </w:rPr>
              <w:t>本次</w:t>
            </w:r>
            <w:r>
              <w:rPr>
                <w:rFonts w:hint="eastAsia" w:ascii="Times New Roman" w:hAnsi="Times New Roman" w:eastAsia="宋体" w:cs="Times New Roman"/>
                <w:b/>
                <w:sz w:val="21"/>
                <w:szCs w:val="21"/>
                <w:lang w:val="en-US" w:eastAsia="zh-CN"/>
              </w:rPr>
              <w:t>扩建</w:t>
            </w:r>
            <w:r>
              <w:rPr>
                <w:rFonts w:hint="eastAsia" w:ascii="Times New Roman" w:hAnsi="Times New Roman" w:eastAsia="宋体" w:cs="Times New Roman"/>
                <w:b/>
                <w:sz w:val="21"/>
                <w:szCs w:val="21"/>
              </w:rPr>
              <w:t>工程与</w:t>
            </w:r>
            <w:r>
              <w:rPr>
                <w:rFonts w:hint="eastAsia" w:ascii="Times New Roman" w:hAnsi="Times New Roman" w:eastAsia="宋体" w:cs="Times New Roman"/>
                <w:b/>
                <w:sz w:val="21"/>
                <w:szCs w:val="21"/>
                <w:lang w:val="en-US" w:eastAsia="zh-CN"/>
              </w:rPr>
              <w:t>现</w:t>
            </w:r>
            <w:r>
              <w:rPr>
                <w:rFonts w:hint="eastAsia" w:ascii="Times New Roman" w:hAnsi="Times New Roman" w:eastAsia="宋体" w:cs="Times New Roman"/>
                <w:b/>
                <w:sz w:val="21"/>
                <w:szCs w:val="21"/>
                <w:lang w:eastAsia="zh-CN"/>
              </w:rPr>
              <w:t>有工程</w:t>
            </w:r>
            <w:r>
              <w:rPr>
                <w:rFonts w:hint="eastAsia" w:ascii="Times New Roman" w:hAnsi="Times New Roman" w:eastAsia="宋体" w:cs="Times New Roman"/>
                <w:b/>
                <w:sz w:val="21"/>
                <w:szCs w:val="21"/>
              </w:rPr>
              <w:t>衔接关系一览表</w:t>
            </w:r>
          </w:p>
          <w:tbl>
            <w:tblPr>
              <w:tblStyle w:val="32"/>
              <w:tblW w:w="49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518"/>
              <w:gridCol w:w="623"/>
              <w:gridCol w:w="2744"/>
              <w:gridCol w:w="660"/>
              <w:gridCol w:w="1875"/>
              <w:gridCol w:w="1572"/>
            </w:tblGrid>
            <w:tr w14:paraId="4B8A9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noWrap w:val="0"/>
                  <w:vAlign w:val="center"/>
                </w:tcPr>
                <w:p w14:paraId="38C9F1E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工程内容</w:t>
                  </w:r>
                </w:p>
              </w:tc>
              <w:tc>
                <w:tcPr>
                  <w:tcW w:w="3367" w:type="dxa"/>
                  <w:gridSpan w:val="2"/>
                  <w:noWrap w:val="0"/>
                  <w:vAlign w:val="center"/>
                </w:tcPr>
                <w:p w14:paraId="5B71503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现有</w:t>
                  </w:r>
                  <w:r>
                    <w:rPr>
                      <w:rFonts w:hint="eastAsia" w:ascii="Times New Roman" w:hAnsi="Times New Roman" w:eastAsia="宋体" w:cs="Times New Roman"/>
                      <w:color w:val="auto"/>
                      <w:sz w:val="18"/>
                      <w:szCs w:val="18"/>
                    </w:rPr>
                    <w:t>工程</w:t>
                  </w:r>
                  <w:r>
                    <w:rPr>
                      <w:rFonts w:hint="eastAsia" w:ascii="Times New Roman" w:hAnsi="Times New Roman" w:eastAsia="宋体" w:cs="Times New Roman"/>
                      <w:color w:val="auto"/>
                      <w:sz w:val="18"/>
                      <w:szCs w:val="18"/>
                      <w:lang w:val="en-US" w:eastAsia="zh-CN"/>
                    </w:rPr>
                    <w:t>建设内容</w:t>
                  </w:r>
                </w:p>
              </w:tc>
              <w:tc>
                <w:tcPr>
                  <w:tcW w:w="660" w:type="dxa"/>
                  <w:noWrap w:val="0"/>
                  <w:vAlign w:val="center"/>
                </w:tcPr>
                <w:p w14:paraId="1A6D0F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rPr>
                    <w:t>改动情况</w:t>
                  </w:r>
                </w:p>
              </w:tc>
              <w:tc>
                <w:tcPr>
                  <w:tcW w:w="1875" w:type="dxa"/>
                  <w:noWrap w:val="0"/>
                  <w:vAlign w:val="center"/>
                </w:tcPr>
                <w:p w14:paraId="252A56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扩建</w:t>
                  </w:r>
                  <w:r>
                    <w:rPr>
                      <w:rFonts w:hint="eastAsia" w:ascii="Times New Roman" w:hAnsi="Times New Roman" w:eastAsia="宋体" w:cs="Times New Roman"/>
                      <w:color w:val="auto"/>
                      <w:sz w:val="18"/>
                      <w:szCs w:val="18"/>
                    </w:rPr>
                    <w:t>工程</w:t>
                  </w:r>
                </w:p>
              </w:tc>
              <w:tc>
                <w:tcPr>
                  <w:tcW w:w="1572" w:type="dxa"/>
                  <w:noWrap w:val="0"/>
                  <w:vAlign w:val="center"/>
                </w:tcPr>
                <w:p w14:paraId="5A0E27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扩建后</w:t>
                  </w:r>
                  <w:r>
                    <w:rPr>
                      <w:rFonts w:hint="eastAsia" w:ascii="Times New Roman" w:hAnsi="Times New Roman" w:eastAsia="宋体" w:cs="Times New Roman"/>
                      <w:color w:val="auto"/>
                      <w:sz w:val="18"/>
                      <w:szCs w:val="18"/>
                    </w:rPr>
                    <w:t>全厂总体情况</w:t>
                  </w:r>
                </w:p>
              </w:tc>
            </w:tr>
            <w:tr w14:paraId="48B94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restart"/>
                  <w:noWrap w:val="0"/>
                  <w:vAlign w:val="center"/>
                </w:tcPr>
                <w:p w14:paraId="656A21F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主体工程</w:t>
                  </w:r>
                </w:p>
              </w:tc>
              <w:tc>
                <w:tcPr>
                  <w:tcW w:w="623" w:type="dxa"/>
                  <w:noWrap w:val="0"/>
                  <w:vAlign w:val="center"/>
                </w:tcPr>
                <w:p w14:paraId="1CD6C0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石灰生产线</w:t>
                  </w:r>
                </w:p>
              </w:tc>
              <w:tc>
                <w:tcPr>
                  <w:tcW w:w="2744" w:type="dxa"/>
                  <w:noWrap w:val="0"/>
                  <w:vAlign w:val="center"/>
                </w:tcPr>
                <w:p w14:paraId="421DF2B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2座节能竖窑，主要包括原料储运输送、石灰石煅烧系统、成品输送机储存、烟气处理系统，配套全封闭皮带输送机，机械竖窑外径5.4米，内径3.5米，总高40米，有效高度约22.5米。</w:t>
                  </w:r>
                </w:p>
              </w:tc>
              <w:tc>
                <w:tcPr>
                  <w:tcW w:w="660" w:type="dxa"/>
                  <w:noWrap w:val="0"/>
                  <w:vAlign w:val="center"/>
                </w:tcPr>
                <w:p w14:paraId="53D036D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3B01E0A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572" w:type="dxa"/>
                  <w:noWrap w:val="0"/>
                  <w:vAlign w:val="center"/>
                </w:tcPr>
                <w:p w14:paraId="379C763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与现有工程一致</w:t>
                  </w:r>
                </w:p>
              </w:tc>
            </w:tr>
            <w:tr w14:paraId="714AE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noWrap w:val="0"/>
                  <w:vAlign w:val="center"/>
                </w:tcPr>
                <w:p w14:paraId="6C6902A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75C0F3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原料筛分车间</w:t>
                  </w:r>
                </w:p>
              </w:tc>
              <w:tc>
                <w:tcPr>
                  <w:tcW w:w="2744" w:type="dxa"/>
                  <w:noWrap w:val="0"/>
                  <w:vAlign w:val="center"/>
                </w:tcPr>
                <w:p w14:paraId="5F2B906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全封闭车间，场地硬化，4m×4m，安装有1台筛分机</w:t>
                  </w:r>
                </w:p>
              </w:tc>
              <w:tc>
                <w:tcPr>
                  <w:tcW w:w="660" w:type="dxa"/>
                  <w:noWrap w:val="0"/>
                  <w:vAlign w:val="center"/>
                </w:tcPr>
                <w:p w14:paraId="6358C4C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4AC7988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572" w:type="dxa"/>
                  <w:noWrap w:val="0"/>
                  <w:vAlign w:val="center"/>
                </w:tcPr>
                <w:p w14:paraId="68E4804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与现有工程一致</w:t>
                  </w:r>
                </w:p>
              </w:tc>
            </w:tr>
            <w:tr w14:paraId="50C19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noWrap w:val="0"/>
                  <w:vAlign w:val="center"/>
                </w:tcPr>
                <w:p w14:paraId="0937FE6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3C0ACB2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生产车间</w:t>
                  </w:r>
                </w:p>
              </w:tc>
              <w:tc>
                <w:tcPr>
                  <w:tcW w:w="2744" w:type="dxa"/>
                  <w:noWrap w:val="0"/>
                  <w:vAlign w:val="center"/>
                </w:tcPr>
                <w:p w14:paraId="39E0940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660" w:type="dxa"/>
                  <w:noWrap w:val="0"/>
                  <w:vAlign w:val="center"/>
                </w:tcPr>
                <w:p w14:paraId="367B03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317C572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全封闭钢结构，建筑面积1200m</w:t>
                  </w:r>
                  <w:r>
                    <w:rPr>
                      <w:rFonts w:hint="eastAsia" w:ascii="Times New Roman" w:hAnsi="Times New Roman" w:eastAsia="宋体" w:cs="Times New Roman"/>
                      <w:color w:val="auto"/>
                      <w:sz w:val="18"/>
                      <w:szCs w:val="18"/>
                      <w:vertAlign w:val="superscript"/>
                      <w:lang w:val="en-US" w:eastAsia="zh-CN"/>
                    </w:rPr>
                    <w:t>2</w:t>
                  </w:r>
                  <w:r>
                    <w:rPr>
                      <w:rFonts w:hint="eastAsia" w:ascii="Times New Roman" w:hAnsi="Times New Roman" w:eastAsia="宋体" w:cs="Times New Roman"/>
                      <w:color w:val="auto"/>
                      <w:sz w:val="18"/>
                      <w:szCs w:val="18"/>
                      <w:lang w:val="en-US" w:eastAsia="zh-CN"/>
                    </w:rPr>
                    <w:t>，设置1条石灰粉生产线</w:t>
                  </w:r>
                </w:p>
              </w:tc>
              <w:tc>
                <w:tcPr>
                  <w:tcW w:w="1572" w:type="dxa"/>
                  <w:noWrap w:val="0"/>
                  <w:vAlign w:val="center"/>
                </w:tcPr>
                <w:p w14:paraId="2220E3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全封闭钢结构，建筑面积1200m</w:t>
                  </w:r>
                  <w:r>
                    <w:rPr>
                      <w:rFonts w:hint="eastAsia" w:ascii="Times New Roman" w:hAnsi="Times New Roman" w:eastAsia="宋体" w:cs="Times New Roman"/>
                      <w:color w:val="auto"/>
                      <w:sz w:val="18"/>
                      <w:szCs w:val="18"/>
                      <w:vertAlign w:val="superscript"/>
                      <w:lang w:val="en-US" w:eastAsia="zh-CN"/>
                    </w:rPr>
                    <w:t>2</w:t>
                  </w:r>
                  <w:r>
                    <w:rPr>
                      <w:rFonts w:hint="eastAsia" w:ascii="Times New Roman" w:hAnsi="Times New Roman" w:eastAsia="宋体" w:cs="Times New Roman"/>
                      <w:color w:val="auto"/>
                      <w:sz w:val="18"/>
                      <w:szCs w:val="18"/>
                      <w:lang w:val="en-US" w:eastAsia="zh-CN"/>
                    </w:rPr>
                    <w:t>，设置1条石灰粉生产线</w:t>
                  </w:r>
                </w:p>
              </w:tc>
            </w:tr>
            <w:tr w14:paraId="3C40D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restart"/>
                  <w:shd w:val="clear" w:color="auto" w:fill="auto"/>
                  <w:noWrap w:val="0"/>
                  <w:vAlign w:val="center"/>
                </w:tcPr>
                <w:p w14:paraId="367D828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储运工程</w:t>
                  </w:r>
                </w:p>
              </w:tc>
              <w:tc>
                <w:tcPr>
                  <w:tcW w:w="623" w:type="dxa"/>
                  <w:noWrap w:val="0"/>
                  <w:vAlign w:val="center"/>
                </w:tcPr>
                <w:p w14:paraId="5A65F9A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原料堆场</w:t>
                  </w:r>
                </w:p>
              </w:tc>
              <w:tc>
                <w:tcPr>
                  <w:tcW w:w="2744" w:type="dxa"/>
                  <w:noWrap w:val="0"/>
                  <w:vAlign w:val="center"/>
                </w:tcPr>
                <w:p w14:paraId="6CCF0DD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1个长×宽×高=20m×20m×4.5m石料库，全封闭</w:t>
                  </w:r>
                </w:p>
              </w:tc>
              <w:tc>
                <w:tcPr>
                  <w:tcW w:w="660" w:type="dxa"/>
                  <w:noWrap w:val="0"/>
                  <w:vAlign w:val="center"/>
                </w:tcPr>
                <w:p w14:paraId="61FDF10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0F60D13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572" w:type="dxa"/>
                  <w:noWrap w:val="0"/>
                  <w:vAlign w:val="center"/>
                </w:tcPr>
                <w:p w14:paraId="1800997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68E5C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6752F9F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2270A44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成品石灰</w:t>
                  </w:r>
                </w:p>
              </w:tc>
              <w:tc>
                <w:tcPr>
                  <w:tcW w:w="2744" w:type="dxa"/>
                  <w:noWrap w:val="0"/>
                  <w:vAlign w:val="center"/>
                </w:tcPr>
                <w:p w14:paraId="0A55580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2个直径7m，高20m石灰仓（块仓），全封闭，每座容量400t</w:t>
                  </w:r>
                </w:p>
                <w:p w14:paraId="1BA9E91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2个直径3m，高20m石灰仓（粉仓），全封闭，每座容量80t</w:t>
                  </w:r>
                </w:p>
              </w:tc>
              <w:tc>
                <w:tcPr>
                  <w:tcW w:w="660" w:type="dxa"/>
                  <w:noWrap w:val="0"/>
                  <w:vAlign w:val="center"/>
                </w:tcPr>
                <w:p w14:paraId="21E70C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781CDD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572" w:type="dxa"/>
                  <w:noWrap w:val="0"/>
                  <w:vAlign w:val="center"/>
                </w:tcPr>
                <w:p w14:paraId="3272954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58029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6793C33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22EE35C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煤堆场</w:t>
                  </w:r>
                </w:p>
              </w:tc>
              <w:tc>
                <w:tcPr>
                  <w:tcW w:w="2744" w:type="dxa"/>
                  <w:noWrap w:val="0"/>
                  <w:vAlign w:val="center"/>
                </w:tcPr>
                <w:p w14:paraId="0C06A23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堆场面积为450m</w:t>
                  </w:r>
                  <w:r>
                    <w:rPr>
                      <w:rFonts w:hint="eastAsia" w:ascii="Times New Roman" w:hAnsi="Times New Roman" w:eastAsia="宋体" w:cs="Times New Roman"/>
                      <w:color w:val="auto"/>
                      <w:sz w:val="18"/>
                      <w:szCs w:val="18"/>
                      <w:vertAlign w:val="superscript"/>
                    </w:rPr>
                    <w:t>2</w:t>
                  </w:r>
                  <w:r>
                    <w:rPr>
                      <w:rFonts w:hint="eastAsia" w:ascii="Times New Roman" w:hAnsi="Times New Roman" w:eastAsia="宋体" w:cs="Times New Roman"/>
                      <w:color w:val="auto"/>
                      <w:sz w:val="18"/>
                      <w:szCs w:val="18"/>
                    </w:rPr>
                    <w:t>，全封闭</w:t>
                  </w:r>
                </w:p>
              </w:tc>
              <w:tc>
                <w:tcPr>
                  <w:tcW w:w="660" w:type="dxa"/>
                  <w:noWrap w:val="0"/>
                  <w:vAlign w:val="center"/>
                </w:tcPr>
                <w:p w14:paraId="47589F15">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700E56E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572" w:type="dxa"/>
                  <w:noWrap w:val="0"/>
                  <w:vAlign w:val="center"/>
                </w:tcPr>
                <w:p w14:paraId="1E59AAA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30BB1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51A9354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1433FC4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原料区</w:t>
                  </w:r>
                </w:p>
              </w:tc>
              <w:tc>
                <w:tcPr>
                  <w:tcW w:w="2744" w:type="dxa"/>
                  <w:noWrap w:val="0"/>
                  <w:vAlign w:val="center"/>
                </w:tcPr>
                <w:p w14:paraId="4A76376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w:t>
                  </w:r>
                </w:p>
              </w:tc>
              <w:tc>
                <w:tcPr>
                  <w:tcW w:w="660" w:type="dxa"/>
                  <w:noWrap w:val="0"/>
                  <w:vAlign w:val="center"/>
                </w:tcPr>
                <w:p w14:paraId="5A50B5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2729C8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bCs/>
                      <w:color w:val="auto"/>
                      <w:sz w:val="18"/>
                      <w:szCs w:val="18"/>
                      <w:lang w:val="en-US" w:eastAsia="zh-CN"/>
                    </w:rPr>
                    <w:t>位于生产车间内西侧，</w:t>
                  </w:r>
                  <w:r>
                    <w:rPr>
                      <w:rFonts w:hint="eastAsia" w:ascii="Times New Roman" w:hAnsi="Times New Roman" w:eastAsia="宋体" w:cs="Times New Roman"/>
                      <w:bCs/>
                      <w:color w:val="auto"/>
                      <w:sz w:val="18"/>
                      <w:szCs w:val="18"/>
                      <w:highlight w:val="none"/>
                      <w:lang w:val="en-US" w:eastAsia="zh-CN"/>
                    </w:rPr>
                    <w:t>建筑面积400</w:t>
                  </w:r>
                  <w:r>
                    <w:rPr>
                      <w:rFonts w:hint="eastAsia" w:ascii="Times New Roman" w:hAnsi="Times New Roman" w:eastAsia="宋体" w:cs="Times New Roman"/>
                      <w:bCs/>
                      <w:color w:val="auto"/>
                      <w:sz w:val="18"/>
                      <w:szCs w:val="18"/>
                      <w:highlight w:val="none"/>
                      <w:lang w:eastAsia="zh-CN"/>
                    </w:rPr>
                    <w:t>m</w:t>
                  </w:r>
                  <w:r>
                    <w:rPr>
                      <w:rFonts w:hint="eastAsia" w:ascii="Times New Roman" w:hAnsi="Times New Roman" w:eastAsia="宋体" w:cs="Times New Roman"/>
                      <w:bCs/>
                      <w:color w:val="auto"/>
                      <w:sz w:val="18"/>
                      <w:szCs w:val="18"/>
                      <w:highlight w:val="none"/>
                      <w:vertAlign w:val="superscript"/>
                      <w:lang w:eastAsia="zh-CN"/>
                    </w:rPr>
                    <w:t>2</w:t>
                  </w:r>
                  <w:r>
                    <w:rPr>
                      <w:rFonts w:hint="eastAsia" w:ascii="Times New Roman" w:hAnsi="Times New Roman" w:eastAsia="宋体" w:cs="Times New Roman"/>
                      <w:bCs/>
                      <w:color w:val="auto"/>
                      <w:sz w:val="18"/>
                      <w:szCs w:val="18"/>
                      <w:highlight w:val="none"/>
                      <w:lang w:eastAsia="zh-CN"/>
                    </w:rPr>
                    <w:t>，</w:t>
                  </w:r>
                  <w:r>
                    <w:rPr>
                      <w:rFonts w:hint="eastAsia" w:ascii="Times New Roman" w:hAnsi="Times New Roman" w:eastAsia="宋体" w:cs="Times New Roman"/>
                      <w:bCs/>
                      <w:color w:val="auto"/>
                      <w:sz w:val="18"/>
                      <w:szCs w:val="18"/>
                      <w:highlight w:val="none"/>
                      <w:lang w:val="en-US" w:eastAsia="zh-CN"/>
                    </w:rPr>
                    <w:t>主要用于临时存放氧化钙</w:t>
                  </w:r>
                </w:p>
              </w:tc>
              <w:tc>
                <w:tcPr>
                  <w:tcW w:w="1572" w:type="dxa"/>
                  <w:noWrap w:val="0"/>
                  <w:vAlign w:val="center"/>
                </w:tcPr>
                <w:p w14:paraId="5AB51EA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bCs/>
                      <w:color w:val="auto"/>
                      <w:sz w:val="18"/>
                      <w:szCs w:val="18"/>
                      <w:lang w:val="en-US" w:eastAsia="zh-CN"/>
                    </w:rPr>
                    <w:t>位于生产车间内西侧，</w:t>
                  </w:r>
                  <w:r>
                    <w:rPr>
                      <w:rFonts w:hint="eastAsia" w:ascii="Times New Roman" w:hAnsi="Times New Roman" w:eastAsia="宋体" w:cs="Times New Roman"/>
                      <w:bCs/>
                      <w:color w:val="auto"/>
                      <w:sz w:val="18"/>
                      <w:szCs w:val="18"/>
                      <w:highlight w:val="none"/>
                      <w:lang w:val="en-US" w:eastAsia="zh-CN"/>
                    </w:rPr>
                    <w:t>建筑面积400</w:t>
                  </w:r>
                  <w:r>
                    <w:rPr>
                      <w:rFonts w:hint="eastAsia" w:ascii="Times New Roman" w:hAnsi="Times New Roman" w:eastAsia="宋体" w:cs="Times New Roman"/>
                      <w:bCs/>
                      <w:color w:val="auto"/>
                      <w:sz w:val="18"/>
                      <w:szCs w:val="18"/>
                      <w:highlight w:val="none"/>
                      <w:lang w:eastAsia="zh-CN"/>
                    </w:rPr>
                    <w:t>m</w:t>
                  </w:r>
                  <w:r>
                    <w:rPr>
                      <w:rFonts w:hint="eastAsia" w:ascii="Times New Roman" w:hAnsi="Times New Roman" w:eastAsia="宋体" w:cs="Times New Roman"/>
                      <w:bCs/>
                      <w:color w:val="auto"/>
                      <w:sz w:val="18"/>
                      <w:szCs w:val="18"/>
                      <w:highlight w:val="none"/>
                      <w:vertAlign w:val="superscript"/>
                      <w:lang w:eastAsia="zh-CN"/>
                    </w:rPr>
                    <w:t>2</w:t>
                  </w:r>
                  <w:r>
                    <w:rPr>
                      <w:rFonts w:hint="eastAsia" w:ascii="Times New Roman" w:hAnsi="Times New Roman" w:eastAsia="宋体" w:cs="Times New Roman"/>
                      <w:bCs/>
                      <w:color w:val="auto"/>
                      <w:sz w:val="18"/>
                      <w:szCs w:val="18"/>
                      <w:highlight w:val="none"/>
                      <w:lang w:eastAsia="zh-CN"/>
                    </w:rPr>
                    <w:t>，</w:t>
                  </w:r>
                  <w:r>
                    <w:rPr>
                      <w:rFonts w:hint="eastAsia" w:ascii="Times New Roman" w:hAnsi="Times New Roman" w:eastAsia="宋体" w:cs="Times New Roman"/>
                      <w:bCs/>
                      <w:color w:val="auto"/>
                      <w:sz w:val="18"/>
                      <w:szCs w:val="18"/>
                      <w:highlight w:val="none"/>
                      <w:lang w:val="en-US" w:eastAsia="zh-CN"/>
                    </w:rPr>
                    <w:t>主要用于临时存放氧化钙</w:t>
                  </w:r>
                </w:p>
              </w:tc>
            </w:tr>
            <w:tr w14:paraId="43533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44FAFC6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6B0E9B6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筒仓</w:t>
                  </w:r>
                </w:p>
              </w:tc>
              <w:tc>
                <w:tcPr>
                  <w:tcW w:w="2744" w:type="dxa"/>
                  <w:noWrap w:val="0"/>
                  <w:vAlign w:val="center"/>
                </w:tcPr>
                <w:p w14:paraId="6BFEF34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w:t>
                  </w:r>
                </w:p>
              </w:tc>
              <w:tc>
                <w:tcPr>
                  <w:tcW w:w="660" w:type="dxa"/>
                  <w:noWrap w:val="0"/>
                  <w:vAlign w:val="center"/>
                </w:tcPr>
                <w:p w14:paraId="6C39124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5D56FB8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bCs/>
                      <w:color w:val="auto"/>
                      <w:sz w:val="18"/>
                      <w:szCs w:val="18"/>
                      <w:lang w:val="en-US" w:eastAsia="zh-CN"/>
                    </w:rPr>
                    <w:t>容积</w:t>
                  </w:r>
                  <w:r>
                    <w:rPr>
                      <w:rFonts w:hint="eastAsia" w:ascii="Times New Roman" w:hAnsi="Times New Roman" w:eastAsia="宋体" w:cs="Times New Roman"/>
                      <w:color w:val="auto"/>
                      <w:kern w:val="2"/>
                      <w:sz w:val="18"/>
                      <w:szCs w:val="18"/>
                      <w:highlight w:val="none"/>
                      <w:lang w:val="en-US" w:eastAsia="zh-CN" w:bidi="ar-SA"/>
                    </w:rPr>
                    <w:t>200m</w:t>
                  </w:r>
                  <w:r>
                    <w:rPr>
                      <w:rFonts w:hint="eastAsia" w:ascii="Times New Roman" w:hAnsi="Times New Roman" w:eastAsia="宋体" w:cs="Times New Roman"/>
                      <w:color w:val="auto"/>
                      <w:kern w:val="2"/>
                      <w:sz w:val="18"/>
                      <w:szCs w:val="18"/>
                      <w:highlight w:val="none"/>
                      <w:vertAlign w:val="superscript"/>
                      <w:lang w:val="en-US" w:eastAsia="zh-CN" w:bidi="ar-SA"/>
                    </w:rPr>
                    <w:t>3</w:t>
                  </w:r>
                </w:p>
              </w:tc>
              <w:tc>
                <w:tcPr>
                  <w:tcW w:w="1572" w:type="dxa"/>
                  <w:noWrap w:val="0"/>
                  <w:vAlign w:val="center"/>
                </w:tcPr>
                <w:p w14:paraId="3E9D19C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bCs/>
                      <w:color w:val="auto"/>
                      <w:sz w:val="18"/>
                      <w:szCs w:val="18"/>
                      <w:lang w:val="en-US" w:eastAsia="zh-CN"/>
                    </w:rPr>
                    <w:t>容积</w:t>
                  </w:r>
                  <w:r>
                    <w:rPr>
                      <w:rFonts w:hint="eastAsia" w:ascii="Times New Roman" w:hAnsi="Times New Roman" w:eastAsia="宋体" w:cs="Times New Roman"/>
                      <w:color w:val="auto"/>
                      <w:kern w:val="2"/>
                      <w:sz w:val="18"/>
                      <w:szCs w:val="18"/>
                      <w:highlight w:val="none"/>
                      <w:lang w:val="en-US" w:eastAsia="zh-CN" w:bidi="ar-SA"/>
                    </w:rPr>
                    <w:t>200m</w:t>
                  </w:r>
                  <w:r>
                    <w:rPr>
                      <w:rFonts w:hint="eastAsia" w:ascii="Times New Roman" w:hAnsi="Times New Roman" w:eastAsia="宋体" w:cs="Times New Roman"/>
                      <w:color w:val="auto"/>
                      <w:kern w:val="2"/>
                      <w:sz w:val="18"/>
                      <w:szCs w:val="18"/>
                      <w:highlight w:val="none"/>
                      <w:vertAlign w:val="superscript"/>
                      <w:lang w:val="en-US" w:eastAsia="zh-CN" w:bidi="ar-SA"/>
                    </w:rPr>
                    <w:t>3</w:t>
                  </w:r>
                </w:p>
              </w:tc>
            </w:tr>
            <w:tr w14:paraId="5806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restart"/>
                  <w:shd w:val="clear" w:color="auto" w:fill="auto"/>
                  <w:noWrap w:val="0"/>
                  <w:vAlign w:val="center"/>
                </w:tcPr>
                <w:p w14:paraId="2F39F8B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辅助工程</w:t>
                  </w:r>
                </w:p>
              </w:tc>
              <w:tc>
                <w:tcPr>
                  <w:tcW w:w="623" w:type="dxa"/>
                  <w:noWrap w:val="0"/>
                  <w:vAlign w:val="center"/>
                </w:tcPr>
                <w:p w14:paraId="258ADE7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办公区</w:t>
                  </w:r>
                </w:p>
              </w:tc>
              <w:tc>
                <w:tcPr>
                  <w:tcW w:w="2744" w:type="dxa"/>
                  <w:noWrap w:val="0"/>
                  <w:vAlign w:val="center"/>
                </w:tcPr>
                <w:p w14:paraId="6909714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位于项目的西侧，1栋，2层，砖混结构，面积1800m</w:t>
                  </w:r>
                  <w:r>
                    <w:rPr>
                      <w:rFonts w:hint="eastAsia" w:ascii="Times New Roman" w:hAnsi="Times New Roman" w:eastAsia="宋体" w:cs="Times New Roman"/>
                      <w:color w:val="auto"/>
                      <w:sz w:val="18"/>
                      <w:szCs w:val="18"/>
                      <w:vertAlign w:val="superscript"/>
                    </w:rPr>
                    <w:t>2</w:t>
                  </w:r>
                </w:p>
              </w:tc>
              <w:tc>
                <w:tcPr>
                  <w:tcW w:w="660" w:type="dxa"/>
                  <w:noWrap w:val="0"/>
                  <w:vAlign w:val="center"/>
                </w:tcPr>
                <w:p w14:paraId="4AFFB0D6">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6011BAD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3CA0B3E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4CDF0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4363AFB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489F00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磅房</w:t>
                  </w:r>
                </w:p>
              </w:tc>
              <w:tc>
                <w:tcPr>
                  <w:tcW w:w="2744" w:type="dxa"/>
                  <w:noWrap w:val="0"/>
                  <w:vAlign w:val="center"/>
                </w:tcPr>
                <w:p w14:paraId="4A7FBC2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 xml:space="preserve"> 位于项目的西侧，占地面积30m</w:t>
                  </w:r>
                  <w:r>
                    <w:rPr>
                      <w:rFonts w:hint="eastAsia" w:ascii="Times New Roman" w:hAnsi="Times New Roman" w:eastAsia="宋体" w:cs="Times New Roman"/>
                      <w:color w:val="auto"/>
                      <w:sz w:val="18"/>
                      <w:szCs w:val="18"/>
                      <w:vertAlign w:val="superscript"/>
                    </w:rPr>
                    <w:t>2</w:t>
                  </w:r>
                </w:p>
              </w:tc>
              <w:tc>
                <w:tcPr>
                  <w:tcW w:w="660" w:type="dxa"/>
                  <w:noWrap w:val="0"/>
                  <w:vAlign w:val="center"/>
                </w:tcPr>
                <w:p w14:paraId="1DF65A23">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280E4E7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640C720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1B56F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786A8E1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6D090A4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配电室</w:t>
                  </w:r>
                </w:p>
              </w:tc>
              <w:tc>
                <w:tcPr>
                  <w:tcW w:w="2744" w:type="dxa"/>
                  <w:noWrap w:val="0"/>
                  <w:vAlign w:val="center"/>
                </w:tcPr>
                <w:p w14:paraId="0E3F175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位于项目的西侧，占地面积20m</w:t>
                  </w:r>
                  <w:r>
                    <w:rPr>
                      <w:rFonts w:hint="eastAsia" w:ascii="Times New Roman" w:hAnsi="Times New Roman" w:eastAsia="宋体" w:cs="Times New Roman"/>
                      <w:color w:val="auto"/>
                      <w:sz w:val="18"/>
                      <w:szCs w:val="18"/>
                      <w:vertAlign w:val="superscript"/>
                    </w:rPr>
                    <w:t>2</w:t>
                  </w:r>
                </w:p>
              </w:tc>
              <w:tc>
                <w:tcPr>
                  <w:tcW w:w="660" w:type="dxa"/>
                  <w:noWrap w:val="0"/>
                  <w:vAlign w:val="center"/>
                </w:tcPr>
                <w:p w14:paraId="5ADF2733">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5E68A6B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137A602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52981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2DC6BAB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623" w:type="dxa"/>
                  <w:noWrap w:val="0"/>
                  <w:vAlign w:val="center"/>
                </w:tcPr>
                <w:p w14:paraId="6855973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蓄水池</w:t>
                  </w:r>
                </w:p>
              </w:tc>
              <w:tc>
                <w:tcPr>
                  <w:tcW w:w="2744" w:type="dxa"/>
                  <w:noWrap w:val="0"/>
                  <w:vAlign w:val="center"/>
                </w:tcPr>
                <w:p w14:paraId="7967DDB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位于办公区，长×宽×高=2m×3m×1.5m</w:t>
                  </w:r>
                </w:p>
              </w:tc>
              <w:tc>
                <w:tcPr>
                  <w:tcW w:w="660" w:type="dxa"/>
                  <w:noWrap w:val="0"/>
                  <w:vAlign w:val="center"/>
                </w:tcPr>
                <w:p w14:paraId="20D6323D">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664FF5F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572" w:type="dxa"/>
                  <w:noWrap w:val="0"/>
                  <w:vAlign w:val="center"/>
                </w:tcPr>
                <w:p w14:paraId="1CBA82F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5DE85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restart"/>
                  <w:shd w:val="clear" w:color="auto" w:fill="auto"/>
                  <w:noWrap w:val="0"/>
                  <w:vAlign w:val="center"/>
                </w:tcPr>
                <w:p w14:paraId="32F0D02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公用工程</w:t>
                  </w:r>
                </w:p>
              </w:tc>
              <w:tc>
                <w:tcPr>
                  <w:tcW w:w="623" w:type="dxa"/>
                  <w:noWrap w:val="0"/>
                  <w:vAlign w:val="center"/>
                </w:tcPr>
                <w:p w14:paraId="7A1CE23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给水</w:t>
                  </w:r>
                </w:p>
              </w:tc>
              <w:tc>
                <w:tcPr>
                  <w:tcW w:w="2744" w:type="dxa"/>
                  <w:noWrap w:val="0"/>
                  <w:vAlign w:val="center"/>
                </w:tcPr>
                <w:p w14:paraId="7307DC6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用水由</w:t>
                  </w:r>
                  <w:r>
                    <w:rPr>
                      <w:rFonts w:hint="eastAsia" w:ascii="Times New Roman" w:hAnsi="Times New Roman" w:eastAsia="宋体" w:cs="Times New Roman"/>
                      <w:color w:val="auto"/>
                      <w:sz w:val="18"/>
                      <w:szCs w:val="18"/>
                      <w:lang w:val="en-US" w:eastAsia="zh-CN"/>
                    </w:rPr>
                    <w:t>闫李庄村</w:t>
                  </w:r>
                  <w:r>
                    <w:rPr>
                      <w:rFonts w:hint="eastAsia" w:ascii="Times New Roman" w:hAnsi="Times New Roman" w:eastAsia="宋体" w:cs="Times New Roman"/>
                      <w:color w:val="auto"/>
                      <w:sz w:val="18"/>
                      <w:szCs w:val="18"/>
                      <w:lang w:eastAsia="zh-CN"/>
                    </w:rPr>
                    <w:t>供给</w:t>
                  </w:r>
                </w:p>
              </w:tc>
              <w:tc>
                <w:tcPr>
                  <w:tcW w:w="660" w:type="dxa"/>
                  <w:noWrap w:val="0"/>
                  <w:vAlign w:val="center"/>
                </w:tcPr>
                <w:p w14:paraId="4F37B087">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1883C91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52A80D5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3C945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18B486B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p>
              </w:tc>
              <w:tc>
                <w:tcPr>
                  <w:tcW w:w="623" w:type="dxa"/>
                  <w:noWrap w:val="0"/>
                  <w:vAlign w:val="center"/>
                </w:tcPr>
                <w:p w14:paraId="7AF25DE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排水</w:t>
                  </w:r>
                </w:p>
              </w:tc>
              <w:tc>
                <w:tcPr>
                  <w:tcW w:w="2744" w:type="dxa"/>
                  <w:noWrap w:val="0"/>
                  <w:vAlign w:val="center"/>
                </w:tcPr>
                <w:p w14:paraId="4FE9AD4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食堂废水经隔油池后与生活污水一起进入沉淀池，处理后用于厂区洒水抑尘，车辆冲洗废水经沉淀池处理后用于厂区洒水抑尘，不外排</w:t>
                  </w:r>
                </w:p>
              </w:tc>
              <w:tc>
                <w:tcPr>
                  <w:tcW w:w="660" w:type="dxa"/>
                  <w:noWrap w:val="0"/>
                  <w:vAlign w:val="center"/>
                </w:tcPr>
                <w:p w14:paraId="6156DF2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6F3EB12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76A2B9A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42CDF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6F098D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p>
              </w:tc>
              <w:tc>
                <w:tcPr>
                  <w:tcW w:w="623" w:type="dxa"/>
                  <w:noWrap w:val="0"/>
                  <w:vAlign w:val="center"/>
                </w:tcPr>
                <w:p w14:paraId="2D403F2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供电</w:t>
                  </w:r>
                </w:p>
              </w:tc>
              <w:tc>
                <w:tcPr>
                  <w:tcW w:w="2744" w:type="dxa"/>
                  <w:noWrap w:val="0"/>
                  <w:vAlign w:val="center"/>
                </w:tcPr>
                <w:p w14:paraId="19D8957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长钢集团变电站提供，厂区内自设一个1000KVA的变压器</w:t>
                  </w:r>
                </w:p>
              </w:tc>
              <w:tc>
                <w:tcPr>
                  <w:tcW w:w="660" w:type="dxa"/>
                  <w:noWrap w:val="0"/>
                  <w:vAlign w:val="center"/>
                </w:tcPr>
                <w:p w14:paraId="211E68A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2631347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281EA24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r w14:paraId="6BEC2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0" w:hRule="atLeast"/>
                <w:jc w:val="center"/>
              </w:trPr>
              <w:tc>
                <w:tcPr>
                  <w:tcW w:w="518" w:type="dxa"/>
                  <w:vMerge w:val="continue"/>
                  <w:shd w:val="clear" w:color="auto" w:fill="auto"/>
                  <w:noWrap w:val="0"/>
                  <w:vAlign w:val="center"/>
                </w:tcPr>
                <w:p w14:paraId="352EC529">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18"/>
                      <w:szCs w:val="18"/>
                    </w:rPr>
                  </w:pPr>
                </w:p>
              </w:tc>
              <w:tc>
                <w:tcPr>
                  <w:tcW w:w="623" w:type="dxa"/>
                  <w:noWrap w:val="0"/>
                  <w:vAlign w:val="center"/>
                </w:tcPr>
                <w:p w14:paraId="46CE48D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供暖</w:t>
                  </w:r>
                </w:p>
              </w:tc>
              <w:tc>
                <w:tcPr>
                  <w:tcW w:w="2744" w:type="dxa"/>
                  <w:noWrap w:val="0"/>
                  <w:vAlign w:val="center"/>
                </w:tcPr>
                <w:p w14:paraId="1558627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冬季办公区采暖拟计划使用电暖器</w:t>
                  </w:r>
                </w:p>
              </w:tc>
              <w:tc>
                <w:tcPr>
                  <w:tcW w:w="660" w:type="dxa"/>
                  <w:noWrap w:val="0"/>
                  <w:vAlign w:val="center"/>
                </w:tcPr>
                <w:p w14:paraId="0AB9D46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无</w:t>
                  </w:r>
                </w:p>
              </w:tc>
              <w:tc>
                <w:tcPr>
                  <w:tcW w:w="1875" w:type="dxa"/>
                  <w:noWrap w:val="0"/>
                  <w:vAlign w:val="center"/>
                </w:tcPr>
                <w:p w14:paraId="327793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依托</w:t>
                  </w:r>
                </w:p>
              </w:tc>
              <w:tc>
                <w:tcPr>
                  <w:tcW w:w="1572" w:type="dxa"/>
                  <w:noWrap w:val="0"/>
                  <w:vAlign w:val="center"/>
                </w:tcPr>
                <w:p w14:paraId="1B77FC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与现有工程一致</w:t>
                  </w:r>
                </w:p>
              </w:tc>
            </w:tr>
          </w:tbl>
          <w:p w14:paraId="1D13B6AA">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2.1</w:t>
            </w:r>
            <w:r>
              <w:rPr>
                <w:rFonts w:hint="eastAsia" w:ascii="Times New Roman" w:hAnsi="Times New Roman" w:eastAsia="宋体" w:cs="Times New Roman"/>
                <w:color w:val="auto"/>
                <w:sz w:val="24"/>
                <w:szCs w:val="24"/>
                <w:lang w:val="en-US" w:eastAsia="zh-CN"/>
              </w:rPr>
              <w:t>.3依托可行性</w:t>
            </w:r>
          </w:p>
          <w:p w14:paraId="12CE7F45">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（1）办公用房</w:t>
            </w:r>
          </w:p>
          <w:p w14:paraId="609EBF5A">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建有一座1800m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vertAlign w:val="baseline"/>
                <w:lang w:val="en-US" w:eastAsia="zh-CN"/>
              </w:rPr>
              <w:t>砖混结构办公房（2F），本次扩建不新增职工，从原有职工中调剂，</w:t>
            </w:r>
            <w:r>
              <w:rPr>
                <w:rFonts w:hint="eastAsia" w:ascii="Times New Roman" w:hAnsi="Times New Roman" w:eastAsia="宋体" w:cs="Times New Roman"/>
                <w:color w:val="auto"/>
                <w:sz w:val="24"/>
                <w:szCs w:val="24"/>
                <w:highlight w:val="none"/>
                <w:lang w:val="en-US" w:eastAsia="zh-CN"/>
              </w:rPr>
              <w:t>生活污水一起进入沉淀池处理后用于洒水抑尘，</w:t>
            </w:r>
            <w:r>
              <w:rPr>
                <w:rFonts w:hint="eastAsia" w:ascii="Times New Roman" w:hAnsi="Times New Roman" w:eastAsia="宋体" w:cs="Times New Roman"/>
                <w:color w:val="auto"/>
                <w:sz w:val="24"/>
                <w:szCs w:val="24"/>
                <w:vertAlign w:val="baseline"/>
                <w:lang w:val="en-US" w:eastAsia="zh-CN"/>
              </w:rPr>
              <w:t>可满足办公需求。</w:t>
            </w:r>
          </w:p>
          <w:p w14:paraId="4BE393B8">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（2）洗车平台</w:t>
            </w:r>
          </w:p>
          <w:p w14:paraId="6F01893C">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本项目原料采用现有《年产15万吨活性石灰技改项目》生产的氧化钙成品进行深加工，仅产品规格发生变化，总产品运输量未增加。年需要约27万吨碳酸钙，则运输量为42万t，</w:t>
            </w:r>
            <w:r>
              <w:rPr>
                <w:rFonts w:hint="eastAsia" w:ascii="Times New Roman" w:hAnsi="Times New Roman" w:eastAsia="宋体" w:cs="Times New Roman"/>
                <w:color w:val="auto"/>
                <w:sz w:val="24"/>
                <w:szCs w:val="24"/>
                <w:highlight w:val="none"/>
                <w:lang w:eastAsia="zh-CN"/>
              </w:rPr>
              <w:t>运输车辆载重</w:t>
            </w:r>
            <w:r>
              <w:rPr>
                <w:rFonts w:hint="eastAsia" w:ascii="Times New Roman" w:hAnsi="Times New Roman" w:eastAsia="宋体" w:cs="Times New Roman"/>
                <w:color w:val="auto"/>
                <w:sz w:val="24"/>
                <w:szCs w:val="24"/>
                <w:highlight w:val="none"/>
                <w:lang w:val="en-US" w:eastAsia="zh-CN"/>
              </w:rPr>
              <w:t>按30</w:t>
            </w:r>
            <w:r>
              <w:rPr>
                <w:rFonts w:hint="eastAsia" w:ascii="Times New Roman" w:hAnsi="Times New Roman" w:eastAsia="宋体" w:cs="Times New Roman"/>
                <w:color w:val="auto"/>
                <w:sz w:val="24"/>
                <w:szCs w:val="24"/>
                <w:highlight w:val="none"/>
                <w:lang w:eastAsia="zh-CN"/>
              </w:rPr>
              <w:t>吨/辆</w:t>
            </w:r>
            <w:r>
              <w:rPr>
                <w:rFonts w:hint="eastAsia" w:ascii="Times New Roman" w:hAnsi="Times New Roman" w:eastAsia="宋体" w:cs="Times New Roman"/>
                <w:color w:val="auto"/>
                <w:sz w:val="24"/>
                <w:szCs w:val="24"/>
                <w:highlight w:val="none"/>
                <w:lang w:val="en-US" w:eastAsia="zh-CN"/>
              </w:rPr>
              <w:t>计</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年工作330d，</w:t>
            </w:r>
            <w:r>
              <w:rPr>
                <w:rFonts w:hint="eastAsia" w:ascii="Times New Roman" w:hAnsi="Times New Roman" w:eastAsia="宋体" w:cs="Times New Roman"/>
                <w:color w:val="auto"/>
                <w:sz w:val="24"/>
                <w:szCs w:val="24"/>
                <w:lang w:val="en-US" w:eastAsia="zh-CN"/>
              </w:rPr>
              <w:t>‌全厂进出车辆约42辆/d，参照《</w:t>
            </w: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"https://www.eiacloud.com/hpyzs/lawsRegulations/searchDetail?id=e5c62edaf4234e2193468f0f50640ab6&amp;modelName=" \t "https://www.eiacloud.com/hpyzs/lawsRegulations/_blank"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山西省用水定额 第3部分：服务业用水定额</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》（DB14/T1049.3-2021），用水量约40L/(辆·次)，洗车用水量为1.68m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/d，废水量以用水量0.9计，则洗车废水量约为1.512m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/d，现厂区内已设置2m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洗车平台沉淀池，洗车废水经2m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洗车平台沉淀池沉淀后循环使用不外排。本项目建成后总进出场运输量及车辆未发生变化，从而洗车废水量未增加，因此依托洗车平台及洗车平台沉淀池可行。</w:t>
            </w:r>
          </w:p>
          <w:p w14:paraId="391E78E4">
            <w:pPr>
              <w:numPr>
                <w:ilvl w:val="0"/>
                <w:numId w:val="0"/>
              </w:numPr>
              <w:spacing w:line="480" w:lineRule="exact"/>
              <w:ind w:firstLine="482" w:firstLineChars="200"/>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2.2主要产品方案及产能 </w:t>
            </w:r>
          </w:p>
          <w:p w14:paraId="5692DC46">
            <w:pPr>
              <w:spacing w:line="480" w:lineRule="exact"/>
              <w:ind w:firstLine="480" w:firstLineChars="200"/>
              <w:rPr>
                <w:color w:val="auto"/>
                <w:sz w:val="24"/>
                <w:lang w:eastAsia="zh-CN"/>
              </w:rPr>
            </w:pPr>
            <w:r>
              <w:rPr>
                <w:rFonts w:hint="eastAsia"/>
                <w:color w:val="auto"/>
                <w:sz w:val="24"/>
                <w:lang w:val="en-US" w:eastAsia="zh-CN"/>
              </w:rPr>
              <w:t>本项目为</w:t>
            </w:r>
            <w:r>
              <w:rPr>
                <w:rFonts w:hint="eastAsia" w:ascii="Times New Roman" w:hAnsi="Times New Roman" w:eastAsia="宋体" w:cs="Times New Roman"/>
                <w:color w:val="auto"/>
                <w:sz w:val="24"/>
                <w:szCs w:val="24"/>
                <w:lang w:eastAsia="zh-CN"/>
              </w:rPr>
              <w:t>石灰深加工项目</w:t>
            </w:r>
            <w:r>
              <w:rPr>
                <w:rFonts w:hint="eastAsia"/>
                <w:color w:val="auto"/>
                <w:sz w:val="24"/>
                <w:lang w:val="en-US" w:eastAsia="zh-CN"/>
              </w:rPr>
              <w:t>，原料主要来源于</w:t>
            </w:r>
            <w:r>
              <w:rPr>
                <w:rFonts w:hint="eastAsia" w:ascii="Times New Roman" w:hAnsi="Times New Roman" w:eastAsia="宋体" w:cs="Times New Roman"/>
                <w:color w:val="auto"/>
                <w:sz w:val="24"/>
                <w:szCs w:val="24"/>
                <w:lang w:val="en-US" w:eastAsia="zh-CN"/>
              </w:rPr>
              <w:t>现有《年产15万吨活性石灰技改项目》生产的氧化钙成品</w:t>
            </w:r>
            <w:r>
              <w:rPr>
                <w:rFonts w:hint="eastAsia"/>
                <w:color w:val="auto"/>
                <w:sz w:val="24"/>
                <w:lang w:val="en-US" w:eastAsia="zh-CN"/>
              </w:rPr>
              <w:t>。</w:t>
            </w:r>
          </w:p>
          <w:p w14:paraId="600DC287">
            <w:pPr>
              <w:adjustRightInd w:val="0"/>
              <w:jc w:val="center"/>
              <w:rPr>
                <w:rFonts w:ascii="Times New Roman" w:hAnsi="Times New Roman" w:eastAsia="宋体" w:cs="Times New Roman"/>
                <w:b/>
                <w:color w:val="auto"/>
                <w:sz w:val="21"/>
                <w:szCs w:val="21"/>
                <w:lang w:eastAsia="zh-CN"/>
              </w:rPr>
            </w:pPr>
          </w:p>
          <w:p w14:paraId="65E4F335">
            <w:pPr>
              <w:adjustRightInd w:val="0"/>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auto"/>
                <w:sz w:val="21"/>
                <w:szCs w:val="21"/>
                <w:lang w:eastAsia="zh-CN"/>
              </w:rPr>
              <w:t>表</w:t>
            </w:r>
            <w:r>
              <w:rPr>
                <w:rFonts w:hint="eastAsia" w:ascii="Times New Roman" w:hAnsi="Times New Roman" w:eastAsia="宋体" w:cs="Times New Roman"/>
                <w:b/>
                <w:color w:val="auto"/>
                <w:sz w:val="21"/>
                <w:szCs w:val="21"/>
                <w:lang w:eastAsia="zh-CN"/>
              </w:rPr>
              <w:t>2</w:t>
            </w:r>
            <w:r>
              <w:rPr>
                <w:rFonts w:hint="eastAsia" w:ascii="Times New Roman" w:hAnsi="Times New Roman" w:eastAsia="宋体" w:cs="Times New Roman"/>
                <w:b/>
                <w:color w:val="auto"/>
                <w:sz w:val="21"/>
                <w:szCs w:val="21"/>
                <w:lang w:val="en-US" w:eastAsia="zh-CN"/>
              </w:rPr>
              <w:t xml:space="preserve">.2-1  </w:t>
            </w:r>
            <w:r>
              <w:rPr>
                <w:rFonts w:hint="eastAsia" w:ascii="Times New Roman" w:hAnsi="Times New Roman" w:eastAsia="宋体" w:cs="Times New Roman"/>
                <w:b/>
                <w:color w:val="auto"/>
                <w:sz w:val="21"/>
                <w:szCs w:val="21"/>
                <w:lang w:eastAsia="zh-CN"/>
              </w:rPr>
              <w:t>产品及产能</w:t>
            </w:r>
          </w:p>
          <w:tbl>
            <w:tblPr>
              <w:tblStyle w:val="33"/>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376"/>
              <w:gridCol w:w="1482"/>
              <w:gridCol w:w="994"/>
              <w:gridCol w:w="3500"/>
            </w:tblGrid>
            <w:tr w14:paraId="084EC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2" w:type="dxa"/>
                  <w:tcBorders>
                    <w:tl2br w:val="nil"/>
                    <w:tr2bl w:val="nil"/>
                  </w:tcBorders>
                  <w:vAlign w:val="center"/>
                </w:tcPr>
                <w:p w14:paraId="26556AF7">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序号</w:t>
                  </w:r>
                </w:p>
              </w:tc>
              <w:tc>
                <w:tcPr>
                  <w:tcW w:w="1376" w:type="dxa"/>
                  <w:tcBorders>
                    <w:tl2br w:val="nil"/>
                    <w:tr2bl w:val="nil"/>
                  </w:tcBorders>
                  <w:vAlign w:val="center"/>
                </w:tcPr>
                <w:p w14:paraId="37C129D5">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产品</w:t>
                  </w:r>
                </w:p>
              </w:tc>
              <w:tc>
                <w:tcPr>
                  <w:tcW w:w="1482" w:type="dxa"/>
                  <w:tcBorders>
                    <w:tl2br w:val="nil"/>
                    <w:tr2bl w:val="nil"/>
                  </w:tcBorders>
                  <w:vAlign w:val="center"/>
                </w:tcPr>
                <w:p w14:paraId="55DF83B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生产能力</w:t>
                  </w:r>
                </w:p>
              </w:tc>
              <w:tc>
                <w:tcPr>
                  <w:tcW w:w="994" w:type="dxa"/>
                  <w:tcBorders>
                    <w:tl2br w:val="nil"/>
                    <w:tr2bl w:val="nil"/>
                  </w:tcBorders>
                  <w:vAlign w:val="center"/>
                </w:tcPr>
                <w:p w14:paraId="028AE3D6">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单位</w:t>
                  </w:r>
                </w:p>
              </w:tc>
              <w:tc>
                <w:tcPr>
                  <w:tcW w:w="3500" w:type="dxa"/>
                  <w:tcBorders>
                    <w:tl2br w:val="nil"/>
                    <w:tr2bl w:val="nil"/>
                  </w:tcBorders>
                  <w:vAlign w:val="center"/>
                </w:tcPr>
                <w:p w14:paraId="0E7C09B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备注</w:t>
                  </w:r>
                </w:p>
              </w:tc>
            </w:tr>
            <w:tr w14:paraId="425F0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82" w:type="dxa"/>
                  <w:tcBorders>
                    <w:tl2br w:val="nil"/>
                    <w:tr2bl w:val="nil"/>
                  </w:tcBorders>
                  <w:vAlign w:val="center"/>
                </w:tcPr>
                <w:p w14:paraId="0BD4E896">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w:t>
                  </w:r>
                </w:p>
              </w:tc>
              <w:tc>
                <w:tcPr>
                  <w:tcW w:w="1376" w:type="dxa"/>
                  <w:tcBorders>
                    <w:tl2br w:val="nil"/>
                    <w:tr2bl w:val="nil"/>
                  </w:tcBorders>
                  <w:vAlign w:val="center"/>
                </w:tcPr>
                <w:p w14:paraId="248E6404">
                  <w:pPr>
                    <w:jc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sz w:val="21"/>
                      <w:szCs w:val="21"/>
                      <w:u w:val="none"/>
                      <w:lang w:val="en-US" w:eastAsia="zh-CN"/>
                    </w:rPr>
                    <w:t>氧化钙粉</w:t>
                  </w:r>
                </w:p>
              </w:tc>
              <w:tc>
                <w:tcPr>
                  <w:tcW w:w="1482" w:type="dxa"/>
                  <w:tcBorders>
                    <w:tl2br w:val="nil"/>
                    <w:tr2bl w:val="nil"/>
                  </w:tcBorders>
                  <w:vAlign w:val="center"/>
                </w:tcPr>
                <w:p w14:paraId="5CAAE670">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eastAsia="zh-CN"/>
                    </w:rPr>
                    <w:t>000</w:t>
                  </w:r>
                  <w:r>
                    <w:rPr>
                      <w:rFonts w:hint="eastAsia" w:ascii="Times New Roman" w:hAnsi="Times New Roman" w:eastAsia="宋体" w:cs="Times New Roman"/>
                      <w:color w:val="auto"/>
                      <w:sz w:val="21"/>
                      <w:szCs w:val="21"/>
                      <w:lang w:val="en-US" w:eastAsia="zh-CN"/>
                    </w:rPr>
                    <w:t>0</w:t>
                  </w:r>
                </w:p>
              </w:tc>
              <w:tc>
                <w:tcPr>
                  <w:tcW w:w="994" w:type="dxa"/>
                  <w:tcBorders>
                    <w:tl2br w:val="nil"/>
                    <w:tr2bl w:val="nil"/>
                  </w:tcBorders>
                  <w:vAlign w:val="center"/>
                </w:tcPr>
                <w:p w14:paraId="31980E92">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t/a</w:t>
                  </w:r>
                </w:p>
              </w:tc>
              <w:tc>
                <w:tcPr>
                  <w:tcW w:w="3500" w:type="dxa"/>
                  <w:tcBorders>
                    <w:tl2br w:val="nil"/>
                    <w:tr2bl w:val="nil"/>
                  </w:tcBorders>
                  <w:vAlign w:val="center"/>
                </w:tcPr>
                <w:p w14:paraId="68B0D9C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规格：0-10mm</w:t>
                  </w:r>
                </w:p>
              </w:tc>
            </w:tr>
          </w:tbl>
          <w:p w14:paraId="749B10BE">
            <w:pPr>
              <w:adjustRightInd w:val="0"/>
              <w:jc w:val="center"/>
              <w:rPr>
                <w:rFonts w:hint="default" w:ascii="Times New Roman" w:hAnsi="Times New Roman" w:eastAsia="宋体" w:cs="Times New Roman"/>
                <w:b/>
                <w:color w:val="auto"/>
                <w:sz w:val="21"/>
                <w:szCs w:val="21"/>
                <w:lang w:val="en-US" w:eastAsia="zh-CN"/>
              </w:rPr>
            </w:pPr>
            <w:r>
              <w:rPr>
                <w:rFonts w:ascii="Times New Roman" w:hAnsi="Times New Roman" w:eastAsia="宋体" w:cs="Times New Roman"/>
                <w:b/>
                <w:color w:val="auto"/>
                <w:sz w:val="21"/>
                <w:szCs w:val="21"/>
                <w:lang w:eastAsia="zh-CN"/>
              </w:rPr>
              <w:t>表</w:t>
            </w:r>
            <w:r>
              <w:rPr>
                <w:rFonts w:hint="eastAsia" w:ascii="Times New Roman" w:hAnsi="Times New Roman" w:eastAsia="宋体" w:cs="Times New Roman"/>
                <w:b/>
                <w:color w:val="auto"/>
                <w:sz w:val="21"/>
                <w:szCs w:val="21"/>
                <w:lang w:eastAsia="zh-CN"/>
              </w:rPr>
              <w:t>2</w:t>
            </w:r>
            <w:r>
              <w:rPr>
                <w:rFonts w:hint="eastAsia" w:ascii="Times New Roman" w:hAnsi="Times New Roman" w:eastAsia="宋体" w:cs="Times New Roman"/>
                <w:b/>
                <w:color w:val="auto"/>
                <w:sz w:val="21"/>
                <w:szCs w:val="21"/>
                <w:lang w:val="en-US" w:eastAsia="zh-CN"/>
              </w:rPr>
              <w:t>.2-2  氧化钙粉性能指标</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1405"/>
              <w:gridCol w:w="1178"/>
              <w:gridCol w:w="1178"/>
              <w:gridCol w:w="1374"/>
              <w:gridCol w:w="1275"/>
            </w:tblGrid>
            <w:tr w14:paraId="0E299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9" w:type="dxa"/>
                  <w:gridSpan w:val="5"/>
                  <w:vAlign w:val="center"/>
                </w:tcPr>
                <w:p w14:paraId="40EC2E50">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化学成分 %</w:t>
                  </w:r>
                </w:p>
              </w:tc>
              <w:tc>
                <w:tcPr>
                  <w:tcW w:w="1275" w:type="dxa"/>
                  <w:vMerge w:val="restart"/>
                  <w:vAlign w:val="center"/>
                </w:tcPr>
                <w:p w14:paraId="09A9B627">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活性度</w:t>
                  </w:r>
                </w:p>
                <w:p w14:paraId="7877B42B">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ml</w:t>
                  </w:r>
                </w:p>
              </w:tc>
            </w:tr>
            <w:tr w14:paraId="76087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24" w:type="dxa"/>
                  <w:vAlign w:val="center"/>
                </w:tcPr>
                <w:p w14:paraId="05DBD026">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（CaO+MgO）</w:t>
                  </w:r>
                </w:p>
              </w:tc>
              <w:tc>
                <w:tcPr>
                  <w:tcW w:w="1405" w:type="dxa"/>
                  <w:vAlign w:val="center"/>
                </w:tcPr>
                <w:p w14:paraId="00F9200E">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SiO</w:t>
                  </w:r>
                  <w:r>
                    <w:rPr>
                      <w:rFonts w:hint="default" w:ascii="Times New Roman" w:hAnsi="Times New Roman" w:eastAsia="宋体" w:cs="Times New Roman"/>
                      <w:color w:val="auto"/>
                      <w:sz w:val="21"/>
                      <w:szCs w:val="21"/>
                      <w:vertAlign w:val="subscript"/>
                      <w:lang w:eastAsia="zh-CN"/>
                    </w:rPr>
                    <w:t>2</w:t>
                  </w:r>
                </w:p>
              </w:tc>
              <w:tc>
                <w:tcPr>
                  <w:tcW w:w="1178" w:type="dxa"/>
                  <w:vAlign w:val="center"/>
                </w:tcPr>
                <w:p w14:paraId="6B699B8F">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P</w:t>
                  </w:r>
                </w:p>
              </w:tc>
              <w:tc>
                <w:tcPr>
                  <w:tcW w:w="1178" w:type="dxa"/>
                  <w:vAlign w:val="center"/>
                </w:tcPr>
                <w:p w14:paraId="0A5475AB">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S</w:t>
                  </w:r>
                </w:p>
              </w:tc>
              <w:tc>
                <w:tcPr>
                  <w:tcW w:w="1374" w:type="dxa"/>
                  <w:vAlign w:val="center"/>
                </w:tcPr>
                <w:p w14:paraId="21EAEF25">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CO</w:t>
                  </w:r>
                  <w:r>
                    <w:rPr>
                      <w:rFonts w:hint="eastAsia" w:ascii="Times New Roman" w:hAnsi="Times New Roman" w:eastAsia="宋体" w:cs="Times New Roman"/>
                      <w:color w:val="auto"/>
                      <w:sz w:val="21"/>
                      <w:szCs w:val="21"/>
                      <w:vertAlign w:val="subscript"/>
                      <w:lang w:eastAsia="zh-CN"/>
                    </w:rPr>
                    <w:t>2</w:t>
                  </w:r>
                  <w:r>
                    <w:rPr>
                      <w:rFonts w:hint="eastAsia" w:ascii="Times New Roman" w:hAnsi="Times New Roman" w:eastAsia="宋体" w:cs="Times New Roman"/>
                      <w:color w:val="auto"/>
                      <w:sz w:val="21"/>
                      <w:szCs w:val="21"/>
                      <w:lang w:eastAsia="zh-CN"/>
                    </w:rPr>
                    <w:t>灼减</w:t>
                  </w:r>
                </w:p>
              </w:tc>
              <w:tc>
                <w:tcPr>
                  <w:tcW w:w="1275" w:type="dxa"/>
                  <w:vMerge w:val="continue"/>
                  <w:vAlign w:val="center"/>
                </w:tcPr>
                <w:p w14:paraId="22245CA1">
                  <w:pPr>
                    <w:jc w:val="center"/>
                    <w:rPr>
                      <w:rFonts w:hint="eastAsia" w:ascii="Times New Roman" w:hAnsi="Times New Roman" w:eastAsia="宋体" w:cs="Times New Roman"/>
                      <w:color w:val="auto"/>
                      <w:sz w:val="21"/>
                      <w:szCs w:val="21"/>
                      <w:lang w:eastAsia="zh-CN"/>
                    </w:rPr>
                  </w:pPr>
                </w:p>
              </w:tc>
            </w:tr>
            <w:tr w14:paraId="321E0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24" w:type="dxa"/>
                  <w:vAlign w:val="center"/>
                </w:tcPr>
                <w:p w14:paraId="24FC453B">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≥90.0</w:t>
                  </w:r>
                </w:p>
              </w:tc>
              <w:tc>
                <w:tcPr>
                  <w:tcW w:w="1405" w:type="dxa"/>
                  <w:vAlign w:val="center"/>
                </w:tcPr>
                <w:p w14:paraId="500E22AC">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≤1.5</w:t>
                  </w:r>
                </w:p>
              </w:tc>
              <w:tc>
                <w:tcPr>
                  <w:tcW w:w="1178" w:type="dxa"/>
                  <w:vAlign w:val="center"/>
                </w:tcPr>
                <w:p w14:paraId="17BB2C1A">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≤0.03</w:t>
                  </w:r>
                </w:p>
              </w:tc>
              <w:tc>
                <w:tcPr>
                  <w:tcW w:w="1178" w:type="dxa"/>
                  <w:vAlign w:val="center"/>
                </w:tcPr>
                <w:p w14:paraId="0A8D0775">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≤0.05</w:t>
                  </w:r>
                </w:p>
              </w:tc>
              <w:tc>
                <w:tcPr>
                  <w:tcW w:w="1374" w:type="dxa"/>
                  <w:vAlign w:val="center"/>
                </w:tcPr>
                <w:p w14:paraId="526B5F95">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≤3</w:t>
                  </w:r>
                </w:p>
              </w:tc>
              <w:tc>
                <w:tcPr>
                  <w:tcW w:w="1275" w:type="dxa"/>
                  <w:vAlign w:val="center"/>
                </w:tcPr>
                <w:p w14:paraId="2D89ACE3">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≥300</w:t>
                  </w:r>
                </w:p>
              </w:tc>
            </w:tr>
          </w:tbl>
          <w:p w14:paraId="4F9F394B">
            <w:pPr>
              <w:spacing w:line="360" w:lineRule="auto"/>
              <w:ind w:firstLine="482"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2.3主要生产设施及参数</w:t>
            </w:r>
          </w:p>
          <w:p w14:paraId="5BB9FCE3">
            <w:pPr>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设施参数见下表：</w:t>
            </w:r>
          </w:p>
          <w:p w14:paraId="4749CB88">
            <w:pPr>
              <w:adjustRightInd w:val="0"/>
              <w:jc w:val="center"/>
              <w:rPr>
                <w:rFonts w:ascii="Times New Roman" w:hAnsi="Times New Roman" w:eastAsia="宋体" w:cs="Times New Roman"/>
                <w:b/>
                <w:color w:val="auto"/>
                <w:sz w:val="21"/>
                <w:szCs w:val="21"/>
                <w:lang w:eastAsia="zh-CN"/>
              </w:rPr>
            </w:pPr>
            <w:r>
              <w:rPr>
                <w:rFonts w:hint="eastAsia" w:ascii="Times New Roman" w:hAnsi="Times New Roman" w:eastAsia="宋体" w:cs="Times New Roman"/>
                <w:b/>
                <w:color w:val="auto"/>
                <w:sz w:val="21"/>
                <w:szCs w:val="21"/>
                <w:lang w:val="en-US" w:eastAsia="zh-CN"/>
              </w:rPr>
              <w:t xml:space="preserve">表 </w:t>
            </w:r>
            <w:r>
              <w:rPr>
                <w:rFonts w:ascii="Times New Roman" w:hAnsi="Times New Roman" w:eastAsia="宋体" w:cs="Times New Roman"/>
                <w:b/>
                <w:color w:val="auto"/>
                <w:sz w:val="21"/>
                <w:szCs w:val="21"/>
                <w:lang w:val="en-US" w:eastAsia="zh-CN"/>
              </w:rPr>
              <w:t xml:space="preserve">2.3-1 </w:t>
            </w:r>
            <w:r>
              <w:rPr>
                <w:rFonts w:hint="eastAsia" w:ascii="Times New Roman" w:hAnsi="Times New Roman" w:eastAsia="宋体" w:cs="Times New Roman"/>
                <w:b/>
                <w:color w:val="auto"/>
                <w:sz w:val="21"/>
                <w:szCs w:val="21"/>
                <w:lang w:val="en-US" w:eastAsia="zh-CN"/>
              </w:rPr>
              <w:t xml:space="preserve">主要生产设施表 </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5"/>
              <w:gridCol w:w="1344"/>
              <w:gridCol w:w="2094"/>
              <w:gridCol w:w="1325"/>
              <w:gridCol w:w="2066"/>
            </w:tblGrid>
            <w:tr w14:paraId="02B09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05" w:type="dxa"/>
                  <w:tcBorders>
                    <w:tl2br w:val="nil"/>
                    <w:tr2bl w:val="nil"/>
                  </w:tcBorders>
                  <w:noWrap w:val="0"/>
                  <w:vAlign w:val="center"/>
                </w:tcPr>
                <w:p w14:paraId="714D349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序号</w:t>
                  </w:r>
                </w:p>
              </w:tc>
              <w:tc>
                <w:tcPr>
                  <w:tcW w:w="1344" w:type="dxa"/>
                  <w:tcBorders>
                    <w:tl2br w:val="nil"/>
                    <w:tr2bl w:val="nil"/>
                  </w:tcBorders>
                  <w:noWrap w:val="0"/>
                  <w:vAlign w:val="center"/>
                </w:tcPr>
                <w:p w14:paraId="4CD4AAEB">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highlight w:val="none"/>
                    </w:rPr>
                    <w:t>名称</w:t>
                  </w:r>
                </w:p>
              </w:tc>
              <w:tc>
                <w:tcPr>
                  <w:tcW w:w="2094" w:type="dxa"/>
                  <w:tcBorders>
                    <w:tl2br w:val="nil"/>
                    <w:tr2bl w:val="nil"/>
                  </w:tcBorders>
                  <w:noWrap w:val="0"/>
                  <w:vAlign w:val="center"/>
                </w:tcPr>
                <w:p w14:paraId="68820EF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技术参数</w:t>
                  </w:r>
                </w:p>
              </w:tc>
              <w:tc>
                <w:tcPr>
                  <w:tcW w:w="1325" w:type="dxa"/>
                  <w:tcBorders>
                    <w:tl2br w:val="nil"/>
                    <w:tr2bl w:val="nil"/>
                  </w:tcBorders>
                  <w:noWrap w:val="0"/>
                  <w:vAlign w:val="center"/>
                </w:tcPr>
                <w:p w14:paraId="4B9340C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数量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台</w:t>
                  </w:r>
                  <w:r>
                    <w:rPr>
                      <w:rFonts w:hint="default" w:ascii="Times New Roman" w:hAnsi="Times New Roman" w:eastAsia="宋体" w:cs="Times New Roman"/>
                      <w:color w:val="auto"/>
                      <w:sz w:val="21"/>
                      <w:szCs w:val="21"/>
                      <w:highlight w:val="none"/>
                      <w:lang w:eastAsia="zh-CN"/>
                    </w:rPr>
                    <w:t>）</w:t>
                  </w:r>
                </w:p>
              </w:tc>
              <w:tc>
                <w:tcPr>
                  <w:tcW w:w="2066" w:type="dxa"/>
                  <w:tcBorders>
                    <w:tl2br w:val="nil"/>
                    <w:tr2bl w:val="nil"/>
                  </w:tcBorders>
                  <w:noWrap w:val="0"/>
                  <w:vAlign w:val="center"/>
                </w:tcPr>
                <w:p w14:paraId="5215EC4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备注</w:t>
                  </w:r>
                </w:p>
              </w:tc>
            </w:tr>
            <w:tr w14:paraId="40EB4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05" w:type="dxa"/>
                  <w:tcBorders>
                    <w:tl2br w:val="nil"/>
                    <w:tr2bl w:val="nil"/>
                  </w:tcBorders>
                  <w:noWrap w:val="0"/>
                  <w:vAlign w:val="center"/>
                </w:tcPr>
                <w:p w14:paraId="35F5B8D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344" w:type="dxa"/>
                  <w:tcBorders>
                    <w:tl2br w:val="nil"/>
                    <w:tr2bl w:val="nil"/>
                  </w:tcBorders>
                  <w:noWrap w:val="0"/>
                  <w:vAlign w:val="center"/>
                </w:tcPr>
                <w:p w14:paraId="350B63A2">
                  <w:pPr>
                    <w:pStyle w:val="54"/>
                    <w:spacing w:line="240" w:lineRule="auto"/>
                    <w:ind w:firstLine="0" w:firstLineChars="0"/>
                    <w:jc w:val="center"/>
                    <w:rPr>
                      <w:rFonts w:hint="default" w:ascii="Times New Roman" w:hAnsi="Times New Roman" w:cs="Times New Roman" w:eastAsiaTheme="minorHAnsi"/>
                      <w:color w:val="auto"/>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上料机</w:t>
                  </w:r>
                </w:p>
              </w:tc>
              <w:tc>
                <w:tcPr>
                  <w:tcW w:w="2094" w:type="dxa"/>
                  <w:tcBorders>
                    <w:tl2br w:val="nil"/>
                    <w:tr2bl w:val="nil"/>
                  </w:tcBorders>
                  <w:noWrap w:val="0"/>
                  <w:vAlign w:val="center"/>
                </w:tcPr>
                <w:p w14:paraId="72A9A02F">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供料能力25t/h</w:t>
                  </w:r>
                </w:p>
              </w:tc>
              <w:tc>
                <w:tcPr>
                  <w:tcW w:w="1325" w:type="dxa"/>
                  <w:tcBorders>
                    <w:tl2br w:val="nil"/>
                    <w:tr2bl w:val="nil"/>
                  </w:tcBorders>
                  <w:noWrap w:val="0"/>
                  <w:vAlign w:val="center"/>
                </w:tcPr>
                <w:p w14:paraId="2D9989FE">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2066" w:type="dxa"/>
                  <w:tcBorders>
                    <w:tl2br w:val="nil"/>
                    <w:tr2bl w:val="nil"/>
                  </w:tcBorders>
                  <w:noWrap w:val="0"/>
                  <w:vAlign w:val="center"/>
                </w:tcPr>
                <w:p w14:paraId="737ECC81">
                  <w:pPr>
                    <w:jc w:val="center"/>
                    <w:rPr>
                      <w:rFonts w:hint="default" w:ascii="Times New Roman" w:hAnsi="Times New Roman" w:eastAsia="宋体" w:cs="Times New Roman"/>
                      <w:color w:val="auto"/>
                      <w:kern w:val="2"/>
                      <w:sz w:val="21"/>
                      <w:szCs w:val="21"/>
                      <w:highlight w:val="none"/>
                      <w:lang w:val="en-US" w:eastAsia="zh-CN" w:bidi="ar-SA"/>
                    </w:rPr>
                  </w:pPr>
                </w:p>
              </w:tc>
            </w:tr>
            <w:tr w14:paraId="6A36E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05" w:type="dxa"/>
                  <w:tcBorders>
                    <w:tl2br w:val="nil"/>
                    <w:tr2bl w:val="nil"/>
                  </w:tcBorders>
                  <w:noWrap w:val="0"/>
                  <w:vAlign w:val="center"/>
                </w:tcPr>
                <w:p w14:paraId="7A7FDF0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344" w:type="dxa"/>
                  <w:tcBorders>
                    <w:tl2br w:val="nil"/>
                    <w:tr2bl w:val="nil"/>
                  </w:tcBorders>
                  <w:noWrap w:val="0"/>
                  <w:vAlign w:val="center"/>
                </w:tcPr>
                <w:p w14:paraId="2EB305DC">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皮带机</w:t>
                  </w:r>
                </w:p>
              </w:tc>
              <w:tc>
                <w:tcPr>
                  <w:tcW w:w="2094" w:type="dxa"/>
                  <w:tcBorders>
                    <w:tl2br w:val="nil"/>
                    <w:tr2bl w:val="nil"/>
                  </w:tcBorders>
                  <w:noWrap w:val="0"/>
                  <w:vAlign w:val="center"/>
                </w:tcPr>
                <w:p w14:paraId="6EBE4AFC">
                  <w:pPr>
                    <w:jc w:val="center"/>
                    <w:rPr>
                      <w:rFonts w:hint="default" w:ascii="Times New Roman" w:hAnsi="Times New Roman" w:eastAsia="宋体" w:cs="Times New Roman"/>
                      <w:color w:val="auto"/>
                      <w:kern w:val="2"/>
                      <w:sz w:val="21"/>
                      <w:szCs w:val="21"/>
                      <w:highlight w:val="none"/>
                      <w:lang w:val="en-US" w:eastAsia="zh-CN" w:bidi="ar-SA"/>
                    </w:rPr>
                  </w:pPr>
                </w:p>
              </w:tc>
              <w:tc>
                <w:tcPr>
                  <w:tcW w:w="1325" w:type="dxa"/>
                  <w:tcBorders>
                    <w:tl2br w:val="nil"/>
                    <w:tr2bl w:val="nil"/>
                  </w:tcBorders>
                  <w:noWrap w:val="0"/>
                  <w:vAlign w:val="center"/>
                </w:tcPr>
                <w:p w14:paraId="084B00F6">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2066" w:type="dxa"/>
                  <w:tcBorders>
                    <w:tl2br w:val="nil"/>
                    <w:tr2bl w:val="nil"/>
                  </w:tcBorders>
                  <w:noWrap w:val="0"/>
                  <w:vAlign w:val="center"/>
                </w:tcPr>
                <w:p w14:paraId="47F1E183">
                  <w:pPr>
                    <w:jc w:val="center"/>
                    <w:rPr>
                      <w:rFonts w:hint="default" w:ascii="Times New Roman" w:hAnsi="Times New Roman" w:eastAsia="宋体" w:cs="Times New Roman"/>
                      <w:color w:val="auto"/>
                      <w:kern w:val="2"/>
                      <w:sz w:val="21"/>
                      <w:szCs w:val="21"/>
                      <w:highlight w:val="none"/>
                      <w:lang w:val="en-US" w:eastAsia="zh-CN" w:bidi="ar-SA"/>
                    </w:rPr>
                  </w:pPr>
                </w:p>
              </w:tc>
            </w:tr>
            <w:tr w14:paraId="2AB6F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1205" w:type="dxa"/>
                  <w:tcBorders>
                    <w:tl2br w:val="nil"/>
                    <w:tr2bl w:val="nil"/>
                  </w:tcBorders>
                  <w:noWrap w:val="0"/>
                  <w:vAlign w:val="center"/>
                </w:tcPr>
                <w:p w14:paraId="3063B40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344" w:type="dxa"/>
                  <w:tcBorders>
                    <w:tl2br w:val="nil"/>
                    <w:tr2bl w:val="nil"/>
                  </w:tcBorders>
                  <w:noWrap w:val="0"/>
                  <w:vAlign w:val="center"/>
                </w:tcPr>
                <w:p w14:paraId="6354095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复合式破碎机</w:t>
                  </w:r>
                </w:p>
              </w:tc>
              <w:tc>
                <w:tcPr>
                  <w:tcW w:w="2094" w:type="dxa"/>
                  <w:tcBorders>
                    <w:tl2br w:val="nil"/>
                    <w:tr2bl w:val="nil"/>
                  </w:tcBorders>
                  <w:noWrap w:val="0"/>
                  <w:vAlign w:val="center"/>
                </w:tcPr>
                <w:p w14:paraId="3C4B1202">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HX-1000</w:t>
                  </w:r>
                </w:p>
                <w:p w14:paraId="748F22E1">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处理能力25t/h</w:t>
                  </w:r>
                </w:p>
              </w:tc>
              <w:tc>
                <w:tcPr>
                  <w:tcW w:w="1325" w:type="dxa"/>
                  <w:tcBorders>
                    <w:tl2br w:val="nil"/>
                    <w:tr2bl w:val="nil"/>
                  </w:tcBorders>
                  <w:noWrap w:val="0"/>
                  <w:vAlign w:val="center"/>
                </w:tcPr>
                <w:p w14:paraId="65AEC7A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2066" w:type="dxa"/>
                  <w:tcBorders>
                    <w:tl2br w:val="nil"/>
                    <w:tr2bl w:val="nil"/>
                  </w:tcBorders>
                  <w:noWrap w:val="0"/>
                  <w:vAlign w:val="center"/>
                </w:tcPr>
                <w:p w14:paraId="176CC72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外形尺寸：2700×1160×2000mm</w:t>
                  </w:r>
                </w:p>
              </w:tc>
            </w:tr>
            <w:tr w14:paraId="68206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05" w:type="dxa"/>
                  <w:tcBorders>
                    <w:tl2br w:val="nil"/>
                    <w:tr2bl w:val="nil"/>
                  </w:tcBorders>
                  <w:noWrap w:val="0"/>
                  <w:vAlign w:val="center"/>
                </w:tcPr>
                <w:p w14:paraId="6849455C">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1344" w:type="dxa"/>
                  <w:tcBorders>
                    <w:tl2br w:val="nil"/>
                    <w:tr2bl w:val="nil"/>
                  </w:tcBorders>
                  <w:noWrap w:val="0"/>
                  <w:vAlign w:val="center"/>
                </w:tcPr>
                <w:p w14:paraId="7EB58515">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提升机</w:t>
                  </w:r>
                </w:p>
              </w:tc>
              <w:tc>
                <w:tcPr>
                  <w:tcW w:w="2094" w:type="dxa"/>
                  <w:tcBorders>
                    <w:tl2br w:val="nil"/>
                    <w:tr2bl w:val="nil"/>
                  </w:tcBorders>
                  <w:noWrap w:val="0"/>
                  <w:vAlign w:val="center"/>
                </w:tcPr>
                <w:p w14:paraId="745FE145">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NE40</w:t>
                  </w:r>
                </w:p>
              </w:tc>
              <w:tc>
                <w:tcPr>
                  <w:tcW w:w="1325" w:type="dxa"/>
                  <w:tcBorders>
                    <w:tl2br w:val="nil"/>
                    <w:tr2bl w:val="nil"/>
                  </w:tcBorders>
                  <w:noWrap w:val="0"/>
                  <w:vAlign w:val="center"/>
                </w:tcPr>
                <w:p w14:paraId="03226A6D">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2066" w:type="dxa"/>
                  <w:tcBorders>
                    <w:tl2br w:val="nil"/>
                    <w:tr2bl w:val="nil"/>
                  </w:tcBorders>
                  <w:noWrap w:val="0"/>
                  <w:vAlign w:val="center"/>
                </w:tcPr>
                <w:p w14:paraId="242ACECC">
                  <w:pPr>
                    <w:jc w:val="center"/>
                    <w:rPr>
                      <w:rFonts w:hint="default" w:ascii="Times New Roman" w:hAnsi="Times New Roman" w:eastAsia="宋体" w:cs="Times New Roman"/>
                      <w:color w:val="auto"/>
                      <w:kern w:val="2"/>
                      <w:sz w:val="21"/>
                      <w:szCs w:val="21"/>
                      <w:highlight w:val="none"/>
                      <w:lang w:val="en-US" w:eastAsia="zh-CN" w:bidi="ar-SA"/>
                    </w:rPr>
                  </w:pPr>
                </w:p>
              </w:tc>
            </w:tr>
            <w:tr w14:paraId="7C65A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05" w:type="dxa"/>
                  <w:tcBorders>
                    <w:tl2br w:val="nil"/>
                    <w:tr2bl w:val="nil"/>
                  </w:tcBorders>
                  <w:noWrap w:val="0"/>
                  <w:vAlign w:val="center"/>
                </w:tcPr>
                <w:p w14:paraId="629D1E9A">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w:t>
                  </w:r>
                </w:p>
              </w:tc>
              <w:tc>
                <w:tcPr>
                  <w:tcW w:w="1344" w:type="dxa"/>
                  <w:tcBorders>
                    <w:tl2br w:val="nil"/>
                    <w:tr2bl w:val="nil"/>
                  </w:tcBorders>
                  <w:noWrap w:val="0"/>
                  <w:vAlign w:val="center"/>
                </w:tcPr>
                <w:p w14:paraId="62D4262D">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成品仓</w:t>
                  </w:r>
                </w:p>
              </w:tc>
              <w:tc>
                <w:tcPr>
                  <w:tcW w:w="2094" w:type="dxa"/>
                  <w:tcBorders>
                    <w:tl2br w:val="nil"/>
                    <w:tr2bl w:val="nil"/>
                  </w:tcBorders>
                  <w:noWrap w:val="0"/>
                  <w:vAlign w:val="center"/>
                </w:tcPr>
                <w:p w14:paraId="3FE10FD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200m</w:t>
                  </w:r>
                  <w:r>
                    <w:rPr>
                      <w:rFonts w:hint="eastAsia" w:ascii="Times New Roman" w:hAnsi="Times New Roman" w:eastAsia="宋体" w:cs="Times New Roman"/>
                      <w:color w:val="auto"/>
                      <w:kern w:val="2"/>
                      <w:sz w:val="21"/>
                      <w:szCs w:val="21"/>
                      <w:highlight w:val="none"/>
                      <w:vertAlign w:val="superscript"/>
                      <w:lang w:val="en-US" w:eastAsia="zh-CN" w:bidi="ar-SA"/>
                    </w:rPr>
                    <w:t>3</w:t>
                  </w:r>
                </w:p>
              </w:tc>
              <w:tc>
                <w:tcPr>
                  <w:tcW w:w="1325" w:type="dxa"/>
                  <w:tcBorders>
                    <w:tl2br w:val="nil"/>
                    <w:tr2bl w:val="nil"/>
                  </w:tcBorders>
                  <w:noWrap w:val="0"/>
                  <w:vAlign w:val="center"/>
                </w:tcPr>
                <w:p w14:paraId="480E7DE8">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2066" w:type="dxa"/>
                  <w:tcBorders>
                    <w:tl2br w:val="nil"/>
                    <w:tr2bl w:val="nil"/>
                  </w:tcBorders>
                  <w:noWrap w:val="0"/>
                  <w:vAlign w:val="center"/>
                </w:tcPr>
                <w:p w14:paraId="66F881AE">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直径5m，仓体高10m，总高16m</w:t>
                  </w:r>
                </w:p>
              </w:tc>
            </w:tr>
          </w:tbl>
          <w:p w14:paraId="11CB314E">
            <w:pPr>
              <w:spacing w:line="360" w:lineRule="auto"/>
              <w:ind w:firstLine="480" w:firstLineChars="200"/>
              <w:jc w:val="both"/>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年工作250d，8h/d。主要生产设备为破碎机，年产量为：25t/h×8h/d×250d=50000t/a，可满足备案生产需求。</w:t>
            </w:r>
          </w:p>
          <w:p w14:paraId="61508E4D">
            <w:pPr>
              <w:spacing w:line="360" w:lineRule="auto"/>
              <w:ind w:firstLine="480" w:firstLineChars="200"/>
              <w:rPr>
                <w:rFonts w:hint="eastAsia" w:ascii="Times New Roman" w:hAnsi="Times New Roman" w:cs="Times New Roman"/>
                <w:b/>
                <w:bCs/>
                <w:color w:val="auto"/>
                <w:sz w:val="24"/>
                <w:highlight w:val="none"/>
                <w:lang w:eastAsia="zh-CN"/>
              </w:rPr>
            </w:pPr>
            <w:r>
              <w:rPr>
                <w:rFonts w:hint="eastAsia" w:ascii="Times New Roman" w:hAnsi="Times New Roman" w:cs="Times New Roman"/>
                <w:b/>
                <w:bCs/>
                <w:color w:val="auto"/>
                <w:sz w:val="24"/>
                <w:highlight w:val="none"/>
                <w:lang w:val="en-US" w:eastAsia="zh-CN"/>
              </w:rPr>
              <w:t xml:space="preserve">2.4 主要原辅材料 </w:t>
            </w:r>
          </w:p>
          <w:p w14:paraId="66D406F6">
            <w:pPr>
              <w:spacing w:line="360" w:lineRule="auto"/>
              <w:ind w:firstLine="480" w:firstLineChars="200"/>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）原</w:t>
            </w:r>
            <w:r>
              <w:rPr>
                <w:rFonts w:hint="eastAsia" w:ascii="Times New Roman" w:hAnsi="Times New Roman" w:cs="Times New Roman"/>
                <w:color w:val="auto"/>
                <w:sz w:val="24"/>
                <w:highlight w:val="none"/>
                <w:lang w:val="en-US" w:eastAsia="zh-CN"/>
              </w:rPr>
              <w:t>副</w:t>
            </w:r>
            <w:r>
              <w:rPr>
                <w:rFonts w:hint="eastAsia" w:ascii="Times New Roman" w:hAnsi="Times New Roman" w:cs="Times New Roman"/>
                <w:color w:val="auto"/>
                <w:sz w:val="24"/>
                <w:highlight w:val="none"/>
                <w:lang w:eastAsia="zh-CN"/>
              </w:rPr>
              <w:t>材料</w:t>
            </w:r>
            <w:r>
              <w:rPr>
                <w:rFonts w:hint="eastAsia" w:ascii="Times New Roman" w:hAnsi="Times New Roman" w:cs="Times New Roman"/>
                <w:color w:val="auto"/>
                <w:sz w:val="24"/>
                <w:highlight w:val="none"/>
                <w:lang w:val="en-US" w:eastAsia="zh-CN"/>
              </w:rPr>
              <w:t>来源</w:t>
            </w:r>
            <w:r>
              <w:rPr>
                <w:rFonts w:hint="eastAsia" w:ascii="Times New Roman" w:hAnsi="Times New Roman" w:cs="Times New Roman"/>
                <w:color w:val="auto"/>
                <w:sz w:val="24"/>
                <w:highlight w:val="none"/>
                <w:lang w:eastAsia="zh-CN"/>
              </w:rPr>
              <w:t>情况</w:t>
            </w:r>
          </w:p>
          <w:p w14:paraId="158C2DFF">
            <w:pPr>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eastAsia"/>
                <w:color w:val="auto"/>
                <w:sz w:val="24"/>
                <w:lang w:val="en-US" w:eastAsia="zh-CN"/>
              </w:rPr>
              <w:t>本项目为</w:t>
            </w:r>
            <w:r>
              <w:rPr>
                <w:rFonts w:hint="eastAsia" w:ascii="Times New Roman" w:hAnsi="Times New Roman" w:eastAsia="宋体" w:cs="Times New Roman"/>
                <w:color w:val="auto"/>
                <w:sz w:val="24"/>
                <w:szCs w:val="24"/>
                <w:lang w:eastAsia="zh-CN"/>
              </w:rPr>
              <w:t>石灰深加工项目</w:t>
            </w:r>
            <w:r>
              <w:rPr>
                <w:rFonts w:hint="eastAsia"/>
                <w:color w:val="auto"/>
                <w:sz w:val="24"/>
                <w:lang w:val="en-US" w:eastAsia="zh-CN"/>
              </w:rPr>
              <w:t>，原料主要来源于</w:t>
            </w:r>
            <w:r>
              <w:rPr>
                <w:rFonts w:hint="eastAsia" w:ascii="Times New Roman" w:hAnsi="Times New Roman" w:eastAsia="宋体" w:cs="Times New Roman"/>
                <w:color w:val="auto"/>
                <w:sz w:val="24"/>
                <w:szCs w:val="24"/>
                <w:lang w:val="en-US" w:eastAsia="zh-CN"/>
              </w:rPr>
              <w:t>现有工程（年产15万吨活性石灰技改项目）生产的氧化钙</w:t>
            </w:r>
            <w:r>
              <w:rPr>
                <w:rFonts w:hint="eastAsia" w:ascii="Times New Roman" w:hAnsi="Times New Roman" w:cs="Times New Roman"/>
                <w:color w:val="auto"/>
                <w:sz w:val="24"/>
                <w:highlight w:val="none"/>
                <w:lang w:val="en-US" w:eastAsia="zh-CN"/>
              </w:rPr>
              <w:t>，本项目</w:t>
            </w:r>
            <w:r>
              <w:rPr>
                <w:rFonts w:hint="eastAsia" w:ascii="Times New Roman" w:hAnsi="Times New Roman" w:cs="Times New Roman"/>
                <w:color w:val="auto"/>
                <w:sz w:val="24"/>
                <w:highlight w:val="none"/>
                <w:lang w:eastAsia="zh-CN"/>
              </w:rPr>
              <w:t>年</w:t>
            </w:r>
            <w:r>
              <w:rPr>
                <w:rFonts w:hint="eastAsia" w:ascii="Times New Roman" w:hAnsi="Times New Roman" w:cs="Times New Roman"/>
                <w:color w:val="auto"/>
                <w:sz w:val="24"/>
                <w:highlight w:val="none"/>
                <w:lang w:val="en-US" w:eastAsia="zh-CN"/>
              </w:rPr>
              <w:t>加工</w:t>
            </w:r>
            <w:r>
              <w:rPr>
                <w:rFonts w:hint="eastAsia" w:ascii="Times New Roman" w:hAnsi="Times New Roman" w:cs="Times New Roman"/>
                <w:color w:val="auto"/>
                <w:sz w:val="24"/>
                <w:highlight w:val="none"/>
                <w:lang w:eastAsia="zh-CN"/>
              </w:rPr>
              <w:t>约</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cs="Times New Roman"/>
                <w:color w:val="auto"/>
                <w:sz w:val="24"/>
                <w:highlight w:val="none"/>
                <w:lang w:eastAsia="zh-CN"/>
              </w:rPr>
              <w:t>万t/a。</w:t>
            </w:r>
            <w:r>
              <w:rPr>
                <w:rFonts w:hint="eastAsia" w:ascii="Times New Roman" w:hAnsi="Times New Roman" w:cs="Times New Roman"/>
                <w:color w:val="auto"/>
                <w:sz w:val="24"/>
                <w:highlight w:val="none"/>
                <w:lang w:val="en-US" w:eastAsia="zh-CN"/>
              </w:rPr>
              <w:t>粒径＜40mm。</w:t>
            </w:r>
          </w:p>
          <w:p w14:paraId="2670C0AA">
            <w:pPr>
              <w:adjustRightInd w:val="0"/>
              <w:jc w:val="center"/>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表 2.4-1 主要原辅材料统计表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194"/>
              <w:gridCol w:w="1744"/>
              <w:gridCol w:w="1178"/>
              <w:gridCol w:w="1692"/>
              <w:gridCol w:w="1464"/>
            </w:tblGrid>
            <w:tr w14:paraId="12AE5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tcBorders>
                    <w:tl2br w:val="nil"/>
                    <w:tr2bl w:val="nil"/>
                  </w:tcBorders>
                  <w:shd w:val="clear" w:color="auto" w:fill="auto"/>
                  <w:noWrap/>
                  <w:vAlign w:val="center"/>
                </w:tcPr>
                <w:p w14:paraId="02371E7D">
                  <w:pPr>
                    <w:widowControl/>
                    <w:jc w:val="center"/>
                    <w:rPr>
                      <w:rFonts w:hint="default" w:ascii="Times New Roman" w:hAnsi="Times New Roman" w:eastAsia="宋体" w:cs="Times New Roman"/>
                      <w:color w:val="auto"/>
                      <w:spacing w:val="6"/>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序号</w:t>
                  </w:r>
                </w:p>
              </w:tc>
              <w:tc>
                <w:tcPr>
                  <w:tcW w:w="1194" w:type="dxa"/>
                  <w:tcBorders>
                    <w:tl2br w:val="nil"/>
                    <w:tr2bl w:val="nil"/>
                  </w:tcBorders>
                  <w:noWrap/>
                  <w:vAlign w:val="center"/>
                </w:tcPr>
                <w:p w14:paraId="1A12CAB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744" w:type="dxa"/>
                  <w:tcBorders>
                    <w:tl2br w:val="nil"/>
                    <w:tr2bl w:val="nil"/>
                  </w:tcBorders>
                  <w:noWrap/>
                  <w:vAlign w:val="center"/>
                </w:tcPr>
                <w:p w14:paraId="0F965F27">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年使用量（t）</w:t>
                  </w:r>
                </w:p>
              </w:tc>
              <w:tc>
                <w:tcPr>
                  <w:tcW w:w="1178" w:type="dxa"/>
                  <w:tcBorders>
                    <w:tl2br w:val="nil"/>
                    <w:tr2bl w:val="nil"/>
                  </w:tcBorders>
                  <w:noWrap/>
                  <w:vAlign w:val="center"/>
                </w:tcPr>
                <w:p w14:paraId="4E11581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 xml:space="preserve">包装形式 </w:t>
                  </w:r>
                </w:p>
              </w:tc>
              <w:tc>
                <w:tcPr>
                  <w:tcW w:w="1692" w:type="dxa"/>
                  <w:tcBorders>
                    <w:tl2br w:val="nil"/>
                    <w:tr2bl w:val="nil"/>
                  </w:tcBorders>
                  <w:noWrap/>
                  <w:vAlign w:val="center"/>
                </w:tcPr>
                <w:p w14:paraId="70B35E8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存储方式 </w:t>
                  </w:r>
                </w:p>
              </w:tc>
              <w:tc>
                <w:tcPr>
                  <w:tcW w:w="1464" w:type="dxa"/>
                  <w:tcBorders>
                    <w:tl2br w:val="nil"/>
                    <w:tr2bl w:val="nil"/>
                  </w:tcBorders>
                  <w:noWrap/>
                  <w:vAlign w:val="center"/>
                </w:tcPr>
                <w:p w14:paraId="332FE10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有毒有害成分及占比 </w:t>
                  </w:r>
                </w:p>
              </w:tc>
            </w:tr>
            <w:tr w14:paraId="73832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62" w:type="dxa"/>
                  <w:tcBorders>
                    <w:tl2br w:val="nil"/>
                    <w:tr2bl w:val="nil"/>
                  </w:tcBorders>
                  <w:shd w:val="clear" w:color="auto" w:fill="auto"/>
                  <w:noWrap/>
                  <w:vAlign w:val="center"/>
                </w:tcPr>
                <w:p w14:paraId="0C5DE5C7">
                  <w:pPr>
                    <w:widowControl/>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1194" w:type="dxa"/>
                  <w:tcBorders>
                    <w:tl2br w:val="nil"/>
                    <w:tr2bl w:val="nil"/>
                  </w:tcBorders>
                  <w:noWrap/>
                  <w:vAlign w:val="center"/>
                </w:tcPr>
                <w:p w14:paraId="5F2CDB9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氧化钙</w:t>
                  </w:r>
                </w:p>
              </w:tc>
              <w:tc>
                <w:tcPr>
                  <w:tcW w:w="1744" w:type="dxa"/>
                  <w:tcBorders>
                    <w:tl2br w:val="nil"/>
                    <w:tr2bl w:val="nil"/>
                  </w:tcBorders>
                  <w:noWrap/>
                  <w:vAlign w:val="center"/>
                </w:tcPr>
                <w:p w14:paraId="040968CC">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50000</w:t>
                  </w:r>
                </w:p>
              </w:tc>
              <w:tc>
                <w:tcPr>
                  <w:tcW w:w="1178" w:type="dxa"/>
                  <w:tcBorders>
                    <w:tl2br w:val="nil"/>
                    <w:tr2bl w:val="nil"/>
                  </w:tcBorders>
                  <w:noWrap/>
                  <w:vAlign w:val="center"/>
                </w:tcPr>
                <w:p w14:paraId="3E5B65B6">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散装</w:t>
                  </w:r>
                </w:p>
              </w:tc>
              <w:tc>
                <w:tcPr>
                  <w:tcW w:w="1692" w:type="dxa"/>
                  <w:tcBorders>
                    <w:tl2br w:val="nil"/>
                    <w:tr2bl w:val="nil"/>
                  </w:tcBorders>
                  <w:noWrap/>
                  <w:vAlign w:val="center"/>
                </w:tcPr>
                <w:p w14:paraId="1563CD5D">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密闭储存</w:t>
                  </w:r>
                </w:p>
              </w:tc>
              <w:tc>
                <w:tcPr>
                  <w:tcW w:w="1464" w:type="dxa"/>
                  <w:tcBorders>
                    <w:tl2br w:val="nil"/>
                    <w:tr2bl w:val="nil"/>
                  </w:tcBorders>
                  <w:noWrap/>
                  <w:vAlign w:val="center"/>
                </w:tcPr>
                <w:p w14:paraId="26CF744C">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bl>
          <w:p w14:paraId="0CBD63C9">
            <w:pPr>
              <w:numPr>
                <w:ilvl w:val="0"/>
                <w:numId w:val="0"/>
              </w:numPr>
              <w:spacing w:line="480" w:lineRule="exact"/>
              <w:ind w:firstLine="480" w:firstLineChars="200"/>
              <w:jc w:val="both"/>
              <w:rPr>
                <w:rFonts w:hint="default" w:ascii="Times New Roman" w:hAnsi="Times New Roman" w:eastAsia="宋体" w:cs="Times New Roman"/>
                <w:b w:val="0"/>
                <w:bCs w:val="0"/>
                <w:color w:val="auto"/>
                <w:sz w:val="24"/>
                <w:szCs w:val="24"/>
                <w:highlight w:val="none"/>
                <w:lang w:val="en-US" w:eastAsia="zh-CN"/>
              </w:rPr>
            </w:pPr>
            <w:bookmarkStart w:id="14" w:name="_Toc17989"/>
            <w:r>
              <w:rPr>
                <w:rFonts w:hint="eastAsia" w:ascii="Times New Roman" w:hAnsi="Times New Roman" w:eastAsia="宋体" w:cs="Times New Roman"/>
                <w:b w:val="0"/>
                <w:bCs w:val="0"/>
                <w:color w:val="auto"/>
                <w:sz w:val="24"/>
                <w:szCs w:val="24"/>
                <w:highlight w:val="none"/>
                <w:lang w:val="en-US" w:eastAsia="zh-CN"/>
              </w:rPr>
              <w:t>（2）物料平衡</w:t>
            </w:r>
          </w:p>
          <w:p w14:paraId="1228A5C5">
            <w:pPr>
              <w:adjustRightInd w:val="0"/>
              <w:jc w:val="center"/>
              <w:rPr>
                <w:rFonts w:hint="default"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val="en-US" w:eastAsia="zh-CN"/>
              </w:rPr>
              <w:t>表 2.4-2 物料</w:t>
            </w:r>
            <w:r>
              <w:rPr>
                <w:rFonts w:hint="eastAsia" w:ascii="Times New Roman" w:hAnsi="Times New Roman" w:eastAsia="宋体" w:cs="Times New Roman"/>
                <w:b/>
                <w:color w:val="auto"/>
                <w:sz w:val="21"/>
                <w:szCs w:val="21"/>
                <w:highlight w:val="none"/>
                <w:lang w:eastAsia="zh-CN"/>
              </w:rPr>
              <w:t>平衡一览表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805"/>
              <w:gridCol w:w="1593"/>
              <w:gridCol w:w="1570"/>
              <w:gridCol w:w="2556"/>
              <w:gridCol w:w="1510"/>
            </w:tblGrid>
            <w:tr w14:paraId="550F6EC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05" w:type="dxa"/>
                  <w:tcBorders>
                    <w:tl2br w:val="nil"/>
                    <w:tr2bl w:val="nil"/>
                  </w:tcBorders>
                  <w:shd w:val="clear" w:color="auto" w:fill="auto"/>
                  <w:vAlign w:val="center"/>
                </w:tcPr>
                <w:p w14:paraId="52B4F588">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序号</w:t>
                  </w:r>
                </w:p>
              </w:tc>
              <w:tc>
                <w:tcPr>
                  <w:tcW w:w="3163" w:type="dxa"/>
                  <w:gridSpan w:val="2"/>
                  <w:tcBorders>
                    <w:tl2br w:val="nil"/>
                    <w:tr2bl w:val="nil"/>
                  </w:tcBorders>
                  <w:shd w:val="clear" w:color="auto" w:fill="auto"/>
                  <w:vAlign w:val="center"/>
                </w:tcPr>
                <w:p w14:paraId="42F450CB">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输入（</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eastAsia" w:ascii="宋体" w:hAnsi="宋体" w:eastAsia="宋体" w:cs="宋体"/>
                      <w:i w:val="0"/>
                      <w:iCs w:val="0"/>
                      <w:color w:val="auto"/>
                      <w:kern w:val="0"/>
                      <w:sz w:val="21"/>
                      <w:szCs w:val="21"/>
                      <w:highlight w:val="none"/>
                      <w:u w:val="none"/>
                      <w:lang w:val="en-US" w:eastAsia="zh-CN" w:bidi="ar"/>
                    </w:rPr>
                    <w:t>）</w:t>
                  </w:r>
                </w:p>
              </w:tc>
              <w:tc>
                <w:tcPr>
                  <w:tcW w:w="4066" w:type="dxa"/>
                  <w:gridSpan w:val="2"/>
                  <w:tcBorders>
                    <w:tl2br w:val="nil"/>
                    <w:tr2bl w:val="nil"/>
                  </w:tcBorders>
                  <w:shd w:val="clear" w:color="auto" w:fill="auto"/>
                  <w:vAlign w:val="center"/>
                </w:tcPr>
                <w:p w14:paraId="171370EA">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输出（</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eastAsia" w:ascii="宋体" w:hAnsi="宋体" w:eastAsia="宋体" w:cs="宋体"/>
                      <w:i w:val="0"/>
                      <w:iCs w:val="0"/>
                      <w:color w:val="auto"/>
                      <w:kern w:val="0"/>
                      <w:sz w:val="21"/>
                      <w:szCs w:val="21"/>
                      <w:highlight w:val="none"/>
                      <w:u w:val="none"/>
                      <w:lang w:val="en-US" w:eastAsia="zh-CN" w:bidi="ar"/>
                    </w:rPr>
                    <w:t>）</w:t>
                  </w:r>
                </w:p>
              </w:tc>
            </w:tr>
            <w:tr w14:paraId="3E1B9AD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05" w:type="dxa"/>
                  <w:tcBorders>
                    <w:tl2br w:val="nil"/>
                    <w:tr2bl w:val="nil"/>
                  </w:tcBorders>
                  <w:shd w:val="clear" w:color="auto" w:fill="auto"/>
                  <w:vAlign w:val="center"/>
                </w:tcPr>
                <w:p w14:paraId="5FF89BE7">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93" w:type="dxa"/>
                  <w:tcBorders>
                    <w:tl2br w:val="nil"/>
                    <w:tr2bl w:val="nil"/>
                  </w:tcBorders>
                  <w:shd w:val="clear" w:color="auto" w:fill="auto"/>
                  <w:vAlign w:val="center"/>
                </w:tcPr>
                <w:p w14:paraId="77A800F5">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eastAsia" w:ascii="宋体" w:hAnsi="宋体" w:eastAsia="宋体" w:cs="宋体"/>
                      <w:i w:val="0"/>
                      <w:iCs w:val="0"/>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lang w:val="en-US" w:eastAsia="zh-CN"/>
                    </w:rPr>
                    <w:t>氧化钙</w:t>
                  </w:r>
                </w:p>
              </w:tc>
              <w:tc>
                <w:tcPr>
                  <w:tcW w:w="1570" w:type="dxa"/>
                  <w:tcBorders>
                    <w:tl2br w:val="nil"/>
                    <w:tr2bl w:val="nil"/>
                  </w:tcBorders>
                  <w:shd w:val="clear" w:color="auto" w:fill="auto"/>
                  <w:vAlign w:val="top"/>
                </w:tcPr>
                <w:p w14:paraId="0B1B1280">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50000</w:t>
                  </w:r>
                </w:p>
              </w:tc>
              <w:tc>
                <w:tcPr>
                  <w:tcW w:w="2556" w:type="dxa"/>
                  <w:tcBorders>
                    <w:tl2br w:val="nil"/>
                    <w:tr2bl w:val="nil"/>
                  </w:tcBorders>
                  <w:shd w:val="clear" w:color="auto" w:fill="auto"/>
                  <w:vAlign w:val="center"/>
                </w:tcPr>
                <w:p w14:paraId="2CACFF8D">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氧化钙粉成品</w:t>
                  </w:r>
                </w:p>
              </w:tc>
              <w:tc>
                <w:tcPr>
                  <w:tcW w:w="1510" w:type="dxa"/>
                  <w:tcBorders>
                    <w:tl2br w:val="nil"/>
                    <w:tr2bl w:val="nil"/>
                  </w:tcBorders>
                  <w:shd w:val="clear" w:color="auto" w:fill="auto"/>
                  <w:vAlign w:val="center"/>
                </w:tcPr>
                <w:p w14:paraId="28E4B89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宋体" w:hAnsi="宋体" w:eastAsia="宋体" w:cs="宋体"/>
                      <w:i w:val="0"/>
                      <w:iCs w:val="0"/>
                      <w:color w:val="000000"/>
                      <w:sz w:val="22"/>
                      <w:szCs w:val="22"/>
                      <w:u w:val="none"/>
                      <w:lang w:val="en-US" w:eastAsia="zh-CN" w:bidi="ar-SA"/>
                    </w:rPr>
                  </w:pPr>
                  <w:r>
                    <w:rPr>
                      <w:rFonts w:hint="eastAsia" w:ascii="Times New Roman" w:hAnsi="Times New Roman" w:eastAsia="宋体" w:cs="Times New Roman"/>
                      <w:i w:val="0"/>
                      <w:iCs w:val="0"/>
                      <w:color w:val="000000"/>
                      <w:kern w:val="0"/>
                      <w:sz w:val="21"/>
                      <w:szCs w:val="21"/>
                      <w:highlight w:val="none"/>
                      <w:u w:val="none"/>
                      <w:lang w:val="en-US" w:eastAsia="zh-CN" w:bidi="ar"/>
                    </w:rPr>
                    <w:t>49942.687</w:t>
                  </w:r>
                </w:p>
              </w:tc>
            </w:tr>
            <w:tr w14:paraId="5E3FECD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05" w:type="dxa"/>
                  <w:tcBorders>
                    <w:tl2br w:val="nil"/>
                    <w:tr2bl w:val="nil"/>
                  </w:tcBorders>
                  <w:shd w:val="clear" w:color="auto" w:fill="auto"/>
                  <w:vAlign w:val="center"/>
                </w:tcPr>
                <w:p w14:paraId="28D1FF0C">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593" w:type="dxa"/>
                  <w:tcBorders>
                    <w:tl2br w:val="nil"/>
                    <w:tr2bl w:val="nil"/>
                  </w:tcBorders>
                  <w:shd w:val="clear" w:color="auto" w:fill="auto"/>
                  <w:vAlign w:val="center"/>
                </w:tcPr>
                <w:p w14:paraId="71C86B67">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z w:val="21"/>
                      <w:szCs w:val="21"/>
                      <w:highlight w:val="none"/>
                      <w:u w:val="none"/>
                    </w:rPr>
                  </w:pPr>
                </w:p>
              </w:tc>
              <w:tc>
                <w:tcPr>
                  <w:tcW w:w="1570" w:type="dxa"/>
                  <w:tcBorders>
                    <w:tl2br w:val="nil"/>
                    <w:tr2bl w:val="nil"/>
                  </w:tcBorders>
                  <w:shd w:val="clear" w:color="auto" w:fill="auto"/>
                  <w:vAlign w:val="center"/>
                </w:tcPr>
                <w:p w14:paraId="380B2610">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2556" w:type="dxa"/>
                  <w:tcBorders>
                    <w:tl2br w:val="nil"/>
                    <w:tr2bl w:val="nil"/>
                  </w:tcBorders>
                  <w:shd w:val="clear" w:color="auto" w:fill="auto"/>
                  <w:vAlign w:val="center"/>
                </w:tcPr>
                <w:p w14:paraId="0AC06009">
                  <w:pPr>
                    <w:keepNext w:val="0"/>
                    <w:keepLines w:val="0"/>
                    <w:widowControl/>
                    <w:suppressLineNumbers w:val="0"/>
                    <w:jc w:val="center"/>
                    <w:textAlignment w:val="top"/>
                    <w:rPr>
                      <w:rFonts w:hint="eastAsia"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有组织粉尘排放</w:t>
                  </w:r>
                </w:p>
              </w:tc>
              <w:tc>
                <w:tcPr>
                  <w:tcW w:w="1510" w:type="dxa"/>
                  <w:tcBorders>
                    <w:tl2br w:val="nil"/>
                    <w:tr2bl w:val="nil"/>
                  </w:tcBorders>
                  <w:shd w:val="clear" w:color="auto" w:fill="auto"/>
                  <w:vAlign w:val="center"/>
                </w:tcPr>
                <w:p w14:paraId="52B85AB0">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0.57</w:t>
                  </w:r>
                </w:p>
              </w:tc>
            </w:tr>
            <w:tr w14:paraId="219EFEC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05" w:type="dxa"/>
                  <w:tcBorders>
                    <w:tl2br w:val="nil"/>
                    <w:tr2bl w:val="nil"/>
                  </w:tcBorders>
                  <w:shd w:val="clear" w:color="auto" w:fill="auto"/>
                  <w:vAlign w:val="center"/>
                </w:tcPr>
                <w:p w14:paraId="77428A14">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1593" w:type="dxa"/>
                  <w:tcBorders>
                    <w:tl2br w:val="nil"/>
                    <w:tr2bl w:val="nil"/>
                  </w:tcBorders>
                  <w:shd w:val="clear" w:color="auto" w:fill="auto"/>
                  <w:vAlign w:val="center"/>
                </w:tcPr>
                <w:p w14:paraId="3B1D5886">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z w:val="21"/>
                      <w:szCs w:val="21"/>
                      <w:highlight w:val="none"/>
                      <w:u w:val="none"/>
                    </w:rPr>
                  </w:pPr>
                </w:p>
              </w:tc>
              <w:tc>
                <w:tcPr>
                  <w:tcW w:w="1570" w:type="dxa"/>
                  <w:tcBorders>
                    <w:tl2br w:val="nil"/>
                    <w:tr2bl w:val="nil"/>
                  </w:tcBorders>
                  <w:shd w:val="clear" w:color="auto" w:fill="auto"/>
                  <w:vAlign w:val="center"/>
                </w:tcPr>
                <w:p w14:paraId="17CBAF3F">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2556" w:type="dxa"/>
                  <w:tcBorders>
                    <w:tl2br w:val="nil"/>
                    <w:tr2bl w:val="nil"/>
                  </w:tcBorders>
                  <w:shd w:val="clear" w:color="auto" w:fill="auto"/>
                  <w:vAlign w:val="center"/>
                </w:tcPr>
                <w:p w14:paraId="67B6DA0C">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无组织粉尘损耗</w:t>
                  </w:r>
                </w:p>
              </w:tc>
              <w:tc>
                <w:tcPr>
                  <w:tcW w:w="1510" w:type="dxa"/>
                  <w:tcBorders>
                    <w:tl2br w:val="nil"/>
                    <w:tr2bl w:val="nil"/>
                  </w:tcBorders>
                  <w:shd w:val="clear" w:color="auto" w:fill="auto"/>
                  <w:vAlign w:val="center"/>
                </w:tcPr>
                <w:p w14:paraId="18C8AA4A">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0.463</w:t>
                  </w:r>
                </w:p>
              </w:tc>
            </w:tr>
            <w:tr w14:paraId="2EFD855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05" w:type="dxa"/>
                  <w:tcBorders>
                    <w:tl2br w:val="nil"/>
                    <w:tr2bl w:val="nil"/>
                  </w:tcBorders>
                  <w:shd w:val="clear" w:color="auto" w:fill="auto"/>
                  <w:vAlign w:val="center"/>
                </w:tcPr>
                <w:p w14:paraId="3656A09F">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593" w:type="dxa"/>
                  <w:tcBorders>
                    <w:tl2br w:val="nil"/>
                    <w:tr2bl w:val="nil"/>
                  </w:tcBorders>
                  <w:shd w:val="clear" w:color="auto" w:fill="auto"/>
                  <w:vAlign w:val="center"/>
                </w:tcPr>
                <w:p w14:paraId="55F10A12">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z w:val="21"/>
                      <w:szCs w:val="21"/>
                      <w:highlight w:val="none"/>
                      <w:u w:val="none"/>
                    </w:rPr>
                  </w:pPr>
                </w:p>
              </w:tc>
              <w:tc>
                <w:tcPr>
                  <w:tcW w:w="1570" w:type="dxa"/>
                  <w:tcBorders>
                    <w:tl2br w:val="nil"/>
                    <w:tr2bl w:val="nil"/>
                  </w:tcBorders>
                  <w:shd w:val="clear" w:color="auto" w:fill="auto"/>
                  <w:vAlign w:val="center"/>
                </w:tcPr>
                <w:p w14:paraId="6015C9A2">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2556" w:type="dxa"/>
                  <w:tcBorders>
                    <w:tl2br w:val="nil"/>
                    <w:tr2bl w:val="nil"/>
                  </w:tcBorders>
                  <w:shd w:val="clear" w:color="auto" w:fill="auto"/>
                  <w:vAlign w:val="center"/>
                </w:tcPr>
                <w:p w14:paraId="62D056A5">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除尘灰</w:t>
                  </w:r>
                </w:p>
              </w:tc>
              <w:tc>
                <w:tcPr>
                  <w:tcW w:w="1510" w:type="dxa"/>
                  <w:tcBorders>
                    <w:tl2br w:val="nil"/>
                    <w:tr2bl w:val="nil"/>
                  </w:tcBorders>
                  <w:shd w:val="clear" w:color="auto" w:fill="auto"/>
                  <w:vAlign w:val="center"/>
                </w:tcPr>
                <w:p w14:paraId="5CD91B08">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56.28</w:t>
                  </w:r>
                </w:p>
              </w:tc>
            </w:tr>
            <w:tr w14:paraId="369E35B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398" w:type="dxa"/>
                  <w:gridSpan w:val="2"/>
                  <w:tcBorders>
                    <w:tl2br w:val="nil"/>
                    <w:tr2bl w:val="nil"/>
                  </w:tcBorders>
                  <w:shd w:val="clear" w:color="auto" w:fill="auto"/>
                  <w:vAlign w:val="center"/>
                </w:tcPr>
                <w:p w14:paraId="288C2B99">
                  <w:pPr>
                    <w:keepNext w:val="0"/>
                    <w:keepLines w:val="0"/>
                    <w:pageBreakBefore w:val="0"/>
                    <w:widowControl w:val="0"/>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合计</w:t>
                  </w:r>
                </w:p>
              </w:tc>
              <w:tc>
                <w:tcPr>
                  <w:tcW w:w="1570" w:type="dxa"/>
                  <w:tcBorders>
                    <w:tl2br w:val="nil"/>
                    <w:tr2bl w:val="nil"/>
                  </w:tcBorders>
                  <w:shd w:val="clear" w:color="auto" w:fill="auto"/>
                  <w:vAlign w:val="center"/>
                </w:tcPr>
                <w:p w14:paraId="70F5BBB8">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50000</w:t>
                  </w:r>
                </w:p>
              </w:tc>
              <w:tc>
                <w:tcPr>
                  <w:tcW w:w="2556" w:type="dxa"/>
                  <w:tcBorders>
                    <w:tl2br w:val="nil"/>
                    <w:tr2bl w:val="nil"/>
                  </w:tcBorders>
                  <w:shd w:val="clear" w:color="auto" w:fill="auto"/>
                  <w:vAlign w:val="center"/>
                </w:tcPr>
                <w:p w14:paraId="211F4AE6">
                  <w:pPr>
                    <w:keepNext w:val="0"/>
                    <w:keepLines w:val="0"/>
                    <w:widowControl/>
                    <w:suppressLineNumbers w:val="0"/>
                    <w:jc w:val="center"/>
                    <w:textAlignment w:val="top"/>
                    <w:rPr>
                      <w:rFonts w:hint="eastAsia"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合计</w:t>
                  </w:r>
                </w:p>
              </w:tc>
              <w:tc>
                <w:tcPr>
                  <w:tcW w:w="1510" w:type="dxa"/>
                  <w:tcBorders>
                    <w:tl2br w:val="nil"/>
                    <w:tr2bl w:val="nil"/>
                  </w:tcBorders>
                  <w:shd w:val="clear" w:color="auto" w:fill="auto"/>
                  <w:vAlign w:val="center"/>
                </w:tcPr>
                <w:p w14:paraId="4906ECFD">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en-US" w:bidi="ar"/>
                    </w:rPr>
                  </w:pPr>
                  <w:r>
                    <w:rPr>
                      <w:rFonts w:hint="eastAsia" w:ascii="Times New Roman" w:hAnsi="Times New Roman" w:eastAsia="宋体" w:cs="Times New Roman"/>
                      <w:i w:val="0"/>
                      <w:iCs w:val="0"/>
                      <w:color w:val="000000"/>
                      <w:kern w:val="0"/>
                      <w:sz w:val="21"/>
                      <w:szCs w:val="21"/>
                      <w:highlight w:val="none"/>
                      <w:u w:val="none"/>
                      <w:lang w:val="en-US" w:eastAsia="zh-CN" w:bidi="ar"/>
                    </w:rPr>
                    <w:t>50000</w:t>
                  </w:r>
                </w:p>
              </w:tc>
            </w:tr>
          </w:tbl>
          <w:p w14:paraId="295A5886">
            <w:pPr>
              <w:adjustRightInd w:val="0"/>
              <w:jc w:val="center"/>
              <w:rPr>
                <w:rFonts w:hint="eastAsia" w:ascii="Times New Roman" w:hAnsi="Times New Roman" w:eastAsia="宋体" w:cs="Times New Roman"/>
                <w:b/>
                <w:color w:val="auto"/>
                <w:sz w:val="21"/>
                <w:szCs w:val="21"/>
                <w:highlight w:val="none"/>
                <w:lang w:val="en-US" w:eastAsia="zh-CN"/>
              </w:rPr>
            </w:pPr>
          </w:p>
          <w:p w14:paraId="415F56F2">
            <w:pPr>
              <w:adjustRightInd w:val="0"/>
              <w:jc w:val="center"/>
              <w:rPr>
                <w:rFonts w:hint="eastAsia" w:ascii="Times New Roman" w:hAnsi="Times New Roman" w:eastAsia="宋体" w:cs="Times New Roman"/>
                <w:b/>
                <w:color w:val="auto"/>
                <w:sz w:val="21"/>
                <w:szCs w:val="21"/>
                <w:highlight w:val="none"/>
                <w:lang w:val="en-US" w:eastAsia="zh-CN"/>
              </w:rPr>
            </w:pPr>
          </w:p>
          <w:p w14:paraId="203F4504">
            <w:pPr>
              <w:adjustRightInd w:val="0"/>
              <w:jc w:val="center"/>
              <w:rPr>
                <w:rFonts w:hint="eastAsia" w:ascii="Times New Roman" w:hAnsi="Times New Roman" w:eastAsia="宋体" w:cs="Times New Roman"/>
                <w:b/>
                <w:color w:val="auto"/>
                <w:sz w:val="21"/>
                <w:szCs w:val="21"/>
                <w:highlight w:val="none"/>
                <w:lang w:val="en-US" w:eastAsia="zh-CN"/>
              </w:rPr>
            </w:pPr>
          </w:p>
          <w:p w14:paraId="3B8BBD17">
            <w:pPr>
              <w:adjustRightInd w:val="0"/>
              <w:jc w:val="center"/>
              <w:rPr>
                <w:rFonts w:hint="eastAsia" w:ascii="Times New Roman" w:hAnsi="Times New Roman" w:eastAsia="宋体" w:cs="Times New Roman"/>
                <w:b/>
                <w:color w:val="auto"/>
                <w:sz w:val="21"/>
                <w:szCs w:val="21"/>
                <w:highlight w:val="none"/>
                <w:lang w:val="en-US" w:eastAsia="zh-CN"/>
              </w:rPr>
            </w:pPr>
          </w:p>
          <w:p w14:paraId="6255C5F5">
            <w:pPr>
              <w:adjustRightInd w:val="0"/>
              <w:jc w:val="center"/>
              <w:rPr>
                <w:rFonts w:hint="eastAsia" w:ascii="Times New Roman" w:hAnsi="Times New Roman" w:eastAsia="宋体" w:cs="Times New Roman"/>
                <w:b/>
                <w:color w:val="auto"/>
                <w:sz w:val="21"/>
                <w:szCs w:val="21"/>
                <w:highlight w:val="none"/>
                <w:lang w:val="en-US" w:eastAsia="zh-CN"/>
              </w:rPr>
            </w:pPr>
          </w:p>
          <w:p w14:paraId="225F8CC7">
            <w:pPr>
              <w:adjustRightInd w:val="0"/>
              <w:jc w:val="center"/>
              <w:rPr>
                <w:rFonts w:hint="eastAsia" w:ascii="Times New Roman" w:hAnsi="Times New Roman" w:eastAsia="宋体" w:cs="Times New Roman"/>
                <w:b/>
                <w:color w:val="auto"/>
                <w:sz w:val="21"/>
                <w:szCs w:val="21"/>
                <w:highlight w:val="none"/>
                <w:lang w:val="en-US" w:eastAsia="zh-CN"/>
              </w:rPr>
            </w:pPr>
          </w:p>
          <w:p w14:paraId="5DC91F8A">
            <w:pPr>
              <w:adjustRightInd w:val="0"/>
              <w:jc w:val="center"/>
              <w:rPr>
                <w:rFonts w:hint="eastAsia" w:ascii="Times New Roman" w:hAnsi="Times New Roman" w:eastAsia="宋体" w:cs="Times New Roman"/>
                <w:b/>
                <w:color w:val="auto"/>
                <w:sz w:val="21"/>
                <w:szCs w:val="21"/>
                <w:highlight w:val="none"/>
                <w:lang w:val="en-US" w:eastAsia="zh-CN"/>
              </w:rPr>
            </w:pPr>
          </w:p>
          <w:p w14:paraId="06453007">
            <w:pPr>
              <w:adjustRightInd w:val="0"/>
              <w:jc w:val="center"/>
              <w:rPr>
                <w:rFonts w:hint="eastAsia" w:ascii="Times New Roman" w:hAnsi="Times New Roman" w:eastAsia="宋体" w:cs="Times New Roman"/>
                <w:b/>
                <w:color w:val="auto"/>
                <w:sz w:val="21"/>
                <w:szCs w:val="21"/>
                <w:highlight w:val="none"/>
                <w:lang w:val="en-US" w:eastAsia="zh-CN"/>
              </w:rPr>
            </w:pPr>
          </w:p>
          <w:p w14:paraId="1871DE7B">
            <w:pPr>
              <w:adjustRightInd w:val="0"/>
              <w:jc w:val="center"/>
              <w:rPr>
                <w:rFonts w:hint="eastAsia" w:ascii="Times New Roman" w:hAnsi="Times New Roman" w:eastAsia="宋体" w:cs="Times New Roman"/>
                <w:b/>
                <w:color w:val="auto"/>
                <w:sz w:val="21"/>
                <w:szCs w:val="21"/>
                <w:highlight w:val="none"/>
                <w:lang w:val="en-US" w:eastAsia="zh-CN"/>
              </w:rPr>
            </w:pPr>
          </w:p>
          <w:p w14:paraId="4769F0D9">
            <w:pPr>
              <w:adjustRightInd w:val="0"/>
              <w:jc w:val="center"/>
              <w:rPr>
                <w:rFonts w:hint="eastAsia" w:ascii="Times New Roman" w:hAnsi="Times New Roman" w:eastAsia="宋体" w:cs="Times New Roman"/>
                <w:b/>
                <w:color w:val="auto"/>
                <w:sz w:val="21"/>
                <w:szCs w:val="21"/>
                <w:highlight w:val="none"/>
                <w:lang w:val="en-US" w:eastAsia="zh-CN"/>
              </w:rPr>
            </w:pPr>
          </w:p>
          <w:p w14:paraId="2DF92F7F">
            <w:pPr>
              <w:adjustRightInd w:val="0"/>
              <w:jc w:val="center"/>
              <w:rPr>
                <w:rFonts w:hint="eastAsia" w:ascii="Times New Roman" w:hAnsi="Times New Roman" w:eastAsia="宋体" w:cs="Times New Roman"/>
                <w:b/>
                <w:color w:val="auto"/>
                <w:sz w:val="21"/>
                <w:szCs w:val="21"/>
                <w:highlight w:val="none"/>
                <w:lang w:val="en-US" w:eastAsia="zh-CN"/>
              </w:rPr>
            </w:pPr>
          </w:p>
          <w:p w14:paraId="6D26DA5C">
            <w:pPr>
              <w:adjustRightInd w:val="0"/>
              <w:jc w:val="center"/>
              <w:rPr>
                <w:rFonts w:hint="eastAsia" w:ascii="Times New Roman" w:hAnsi="Times New Roman" w:eastAsia="宋体" w:cs="Times New Roman"/>
                <w:b/>
                <w:color w:val="auto"/>
                <w:sz w:val="21"/>
                <w:szCs w:val="21"/>
                <w:highlight w:val="none"/>
                <w:lang w:val="en-US" w:eastAsia="zh-CN"/>
              </w:rPr>
            </w:pPr>
          </w:p>
          <w:p w14:paraId="0F4A76C0">
            <w:pPr>
              <w:adjustRightInd w:val="0"/>
              <w:jc w:val="center"/>
              <w:rPr>
                <w:rFonts w:hint="eastAsia" w:ascii="Times New Roman" w:hAnsi="Times New Roman" w:eastAsia="宋体" w:cs="Times New Roman"/>
                <w:b/>
                <w:color w:val="auto"/>
                <w:sz w:val="21"/>
                <w:szCs w:val="21"/>
                <w:highlight w:val="none"/>
                <w:lang w:val="en-US" w:eastAsia="zh-CN"/>
              </w:rPr>
            </w:pPr>
          </w:p>
          <w:p w14:paraId="1A0298DF">
            <w:pPr>
              <w:adjustRightInd w:val="0"/>
              <w:jc w:val="center"/>
              <w:rPr>
                <w:rFonts w:hint="eastAsia" w:ascii="Times New Roman" w:hAnsi="Times New Roman" w:eastAsia="宋体" w:cs="Times New Roman"/>
                <w:b/>
                <w:color w:val="auto"/>
                <w:sz w:val="21"/>
                <w:szCs w:val="21"/>
                <w:highlight w:val="none"/>
                <w:lang w:val="en-US" w:eastAsia="zh-CN"/>
              </w:rPr>
            </w:pPr>
          </w:p>
          <w:p w14:paraId="5493C3C2">
            <w:pPr>
              <w:adjustRightInd w:val="0"/>
              <w:jc w:val="center"/>
              <w:rPr>
                <w:rFonts w:hint="eastAsia" w:ascii="Times New Roman" w:hAnsi="Times New Roman" w:eastAsia="宋体" w:cs="Times New Roman"/>
                <w:b/>
                <w:color w:val="auto"/>
                <w:sz w:val="21"/>
                <w:szCs w:val="21"/>
                <w:highlight w:val="none"/>
                <w:lang w:val="en-US" w:eastAsia="zh-CN"/>
              </w:rPr>
            </w:pPr>
          </w:p>
          <w:p w14:paraId="3E1B55B4">
            <w:pPr>
              <w:adjustRightInd w:val="0"/>
              <w:jc w:val="center"/>
              <w:rPr>
                <w:rFonts w:hint="eastAsia" w:ascii="Times New Roman" w:hAnsi="Times New Roman" w:eastAsia="宋体" w:cs="Times New Roman"/>
                <w:b/>
                <w:color w:val="auto"/>
                <w:sz w:val="21"/>
                <w:szCs w:val="21"/>
                <w:highlight w:val="none"/>
                <w:lang w:val="en-US" w:eastAsia="zh-CN"/>
              </w:rPr>
            </w:pPr>
          </w:p>
          <w:p w14:paraId="71C59B6A">
            <w:pPr>
              <w:adjustRightInd w:val="0"/>
              <w:jc w:val="center"/>
              <w:rPr>
                <w:rFonts w:hint="eastAsia" w:ascii="Times New Roman" w:hAnsi="Times New Roman" w:eastAsia="宋体" w:cs="Times New Roman"/>
                <w:b/>
                <w:color w:val="auto"/>
                <w:sz w:val="21"/>
                <w:szCs w:val="21"/>
                <w:highlight w:val="none"/>
                <w:lang w:val="en-US" w:eastAsia="zh-CN"/>
              </w:rPr>
            </w:pPr>
          </w:p>
          <w:p w14:paraId="25FFAC14">
            <w:pPr>
              <w:adjustRightInd w:val="0"/>
              <w:jc w:val="center"/>
              <w:rPr>
                <w:rFonts w:hint="eastAsia" w:ascii="Times New Roman" w:hAnsi="Times New Roman" w:eastAsia="宋体" w:cs="Times New Roman"/>
                <w:b/>
                <w:color w:val="auto"/>
                <w:sz w:val="21"/>
                <w:szCs w:val="21"/>
                <w:highlight w:val="none"/>
                <w:lang w:val="en-US" w:eastAsia="zh-CN"/>
              </w:rPr>
            </w:pPr>
          </w:p>
          <w:p w14:paraId="4D8A55A4">
            <w:pPr>
              <w:adjustRightInd w:val="0"/>
              <w:jc w:val="center"/>
              <w:rPr>
                <w:rFonts w:hint="eastAsia" w:ascii="Times New Roman" w:hAnsi="Times New Roman" w:eastAsia="宋体" w:cs="Times New Roman"/>
                <w:b/>
                <w:color w:val="auto"/>
                <w:sz w:val="21"/>
                <w:szCs w:val="21"/>
                <w:highlight w:val="none"/>
                <w:lang w:val="en-US" w:eastAsia="zh-CN"/>
              </w:rPr>
            </w:pPr>
          </w:p>
          <w:p w14:paraId="6A37548E">
            <w:pPr>
              <w:adjustRightInd w:val="0"/>
              <w:jc w:val="center"/>
              <w:rPr>
                <w:rFonts w:hint="eastAsia" w:ascii="Times New Roman" w:hAnsi="Times New Roman" w:eastAsia="宋体" w:cs="Times New Roman"/>
                <w:b/>
                <w:color w:val="auto"/>
                <w:sz w:val="21"/>
                <w:szCs w:val="21"/>
                <w:highlight w:val="none"/>
                <w:lang w:val="en-US" w:eastAsia="zh-CN"/>
              </w:rPr>
            </w:pPr>
          </w:p>
          <w:p w14:paraId="7DDF54FB">
            <w:pPr>
              <w:adjustRightInd w:val="0"/>
              <w:jc w:val="center"/>
              <w:rPr>
                <w:rFonts w:hint="eastAsia" w:ascii="Times New Roman" w:hAnsi="Times New Roman" w:eastAsia="宋体" w:cs="Times New Roman"/>
                <w:b/>
                <w:color w:val="auto"/>
                <w:sz w:val="21"/>
                <w:szCs w:val="21"/>
                <w:highlight w:val="none"/>
                <w:lang w:val="en-US" w:eastAsia="zh-CN"/>
              </w:rPr>
            </w:pPr>
          </w:p>
          <w:p w14:paraId="413B0B21">
            <w:pPr>
              <w:adjustRightInd w:val="0"/>
              <w:jc w:val="center"/>
              <w:rPr>
                <w:rFonts w:hint="eastAsia" w:ascii="Times New Roman" w:hAnsi="Times New Roman" w:eastAsia="宋体" w:cs="Times New Roman"/>
                <w:b/>
                <w:color w:val="auto"/>
                <w:sz w:val="21"/>
                <w:szCs w:val="21"/>
                <w:highlight w:val="none"/>
                <w:lang w:val="en-US" w:eastAsia="zh-CN"/>
              </w:rPr>
            </w:pPr>
          </w:p>
          <w:p w14:paraId="1C547DCB">
            <w:pPr>
              <w:adjustRightInd w:val="0"/>
              <w:jc w:val="center"/>
              <w:rPr>
                <w:rFonts w:hint="eastAsia" w:ascii="Times New Roman" w:hAnsi="Times New Roman" w:eastAsia="宋体" w:cs="Times New Roman"/>
                <w:b/>
                <w:color w:val="auto"/>
                <w:sz w:val="21"/>
                <w:szCs w:val="21"/>
                <w:highlight w:val="none"/>
                <w:lang w:val="en-US" w:eastAsia="zh-CN"/>
              </w:rPr>
            </w:pPr>
          </w:p>
          <w:p w14:paraId="3484324C">
            <w:pPr>
              <w:adjustRightInd w:val="0"/>
              <w:jc w:val="center"/>
              <w:rPr>
                <w:rFonts w:hint="eastAsia" w:ascii="Times New Roman" w:hAnsi="Times New Roman" w:eastAsia="宋体" w:cs="Times New Roman"/>
                <w:b/>
                <w:color w:val="auto"/>
                <w:sz w:val="21"/>
                <w:szCs w:val="21"/>
                <w:highlight w:val="none"/>
                <w:lang w:val="en-US" w:eastAsia="zh-CN"/>
              </w:rPr>
            </w:pPr>
          </w:p>
          <w:p w14:paraId="35FE5C86">
            <w:pPr>
              <w:adjustRightInd w:val="0"/>
              <w:jc w:val="center"/>
              <w:rPr>
                <w:rFonts w:hint="eastAsia" w:ascii="Times New Roman" w:hAnsi="Times New Roman" w:eastAsia="宋体" w:cs="Times New Roman"/>
                <w:b/>
                <w:color w:val="auto"/>
                <w:sz w:val="21"/>
                <w:szCs w:val="21"/>
                <w:highlight w:val="none"/>
                <w:lang w:val="en-US" w:eastAsia="zh-CN"/>
              </w:rPr>
            </w:pPr>
          </w:p>
          <w:p w14:paraId="58385924">
            <w:pPr>
              <w:adjustRightInd w:val="0"/>
              <w:jc w:val="center"/>
              <w:rPr>
                <w:rFonts w:hint="eastAsia" w:ascii="Times New Roman" w:hAnsi="Times New Roman" w:eastAsia="宋体" w:cs="Times New Roman"/>
                <w:b/>
                <w:color w:val="auto"/>
                <w:sz w:val="21"/>
                <w:szCs w:val="21"/>
                <w:highlight w:val="none"/>
                <w:lang w:val="en-US" w:eastAsia="zh-CN"/>
              </w:rPr>
            </w:pPr>
          </w:p>
          <w:p w14:paraId="17CF3508">
            <w:pPr>
              <w:adjustRightInd w:val="0"/>
              <w:jc w:val="center"/>
              <w:rPr>
                <w:rFonts w:hint="eastAsia" w:ascii="Times New Roman" w:hAnsi="Times New Roman" w:eastAsia="宋体" w:cs="Times New Roman"/>
                <w:b/>
                <w:color w:val="auto"/>
                <w:sz w:val="21"/>
                <w:szCs w:val="21"/>
                <w:highlight w:val="none"/>
                <w:lang w:val="en-US" w:eastAsia="zh-CN"/>
              </w:rPr>
            </w:pPr>
          </w:p>
          <w:p w14:paraId="040EA99B">
            <w:pPr>
              <w:adjustRightInd w:val="0"/>
              <w:jc w:val="center"/>
              <w:rPr>
                <w:rFonts w:hint="eastAsia" w:ascii="Times New Roman" w:hAnsi="Times New Roman" w:eastAsia="宋体" w:cs="Times New Roman"/>
                <w:b/>
                <w:color w:val="auto"/>
                <w:sz w:val="21"/>
                <w:szCs w:val="21"/>
                <w:highlight w:val="none"/>
                <w:lang w:val="en-US" w:eastAsia="zh-CN"/>
              </w:rPr>
            </w:pPr>
          </w:p>
          <w:p w14:paraId="3AB03406">
            <w:pPr>
              <w:adjustRightInd w:val="0"/>
              <w:jc w:val="center"/>
              <w:rPr>
                <w:rFonts w:hint="eastAsia" w:ascii="Times New Roman" w:hAnsi="Times New Roman" w:eastAsia="宋体" w:cs="Times New Roman"/>
                <w:b/>
                <w:color w:val="auto"/>
                <w:sz w:val="21"/>
                <w:szCs w:val="21"/>
                <w:highlight w:val="none"/>
                <w:lang w:val="en-US" w:eastAsia="zh-CN"/>
              </w:rPr>
            </w:pPr>
          </w:p>
          <w:p w14:paraId="1AA2AC5E">
            <w:pPr>
              <w:adjustRightInd w:val="0"/>
              <w:jc w:val="center"/>
              <w:rPr>
                <w:rFonts w:hint="eastAsia" w:ascii="Times New Roman" w:hAnsi="Times New Roman" w:eastAsia="宋体" w:cs="Times New Roman"/>
                <w:b/>
                <w:color w:val="auto"/>
                <w:sz w:val="21"/>
                <w:szCs w:val="21"/>
                <w:highlight w:val="none"/>
                <w:lang w:val="en-US" w:eastAsia="zh-CN"/>
              </w:rPr>
            </w:pPr>
          </w:p>
          <w:p w14:paraId="51F78FC2">
            <w:pPr>
              <w:adjustRightInd w:val="0"/>
              <w:jc w:val="center"/>
              <w:rPr>
                <w:rFonts w:hint="eastAsia" w:ascii="Times New Roman" w:hAnsi="Times New Roman" w:eastAsia="宋体" w:cs="Times New Roman"/>
                <w:b/>
                <w:color w:val="auto"/>
                <w:sz w:val="21"/>
                <w:szCs w:val="21"/>
                <w:highlight w:val="none"/>
                <w:lang w:val="en-US" w:eastAsia="zh-CN"/>
              </w:rPr>
            </w:pPr>
          </w:p>
          <w:p w14:paraId="01033E0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eastAsia="宋体" w:cs="Times New Roman"/>
                <w:b w:val="0"/>
                <w:bCs w:val="0"/>
                <w:color w:val="auto"/>
                <w:sz w:val="24"/>
                <w:szCs w:val="24"/>
                <w:highlight w:val="none"/>
                <w:lang w:val="en-US" w:eastAsia="zh-CN"/>
              </w:rPr>
            </w:pPr>
            <w:r>
              <w:rPr>
                <w:b/>
                <w:bCs/>
                <w:sz w:val="28"/>
                <w:szCs w:val="28"/>
              </w:rPr>
              <w:object>
                <v:shape id="_x0000_i1025" o:spt="75" type="#_x0000_t75" style="height:494.55pt;width:215.55pt;" o:ole="t" filled="f" o:preferrelative="t" stroked="f" coordsize="21600,21600">
                  <v:path/>
                  <v:fill on="f" focussize="0,0"/>
                  <v:stroke on="f"/>
                  <v:imagedata r:id="rId28" o:title=""/>
                  <o:lock v:ext="edit" aspectratio="t"/>
                  <w10:wrap type="none"/>
                  <w10:anchorlock/>
                </v:shape>
                <o:OLEObject Type="Embed" ProgID="Visio.Drawing.11" ShapeID="_x0000_i1025" DrawAspect="Content" ObjectID="_1468075725" r:id="rId27">
                  <o:LockedField>false</o:LockedField>
                </o:OLEObject>
              </w:object>
            </w:r>
          </w:p>
          <w:p w14:paraId="75B6D6C8">
            <w:pPr>
              <w:adjustRightInd w:val="0"/>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图2.4-1 全厂物料流向图     单位t/a</w:t>
            </w:r>
          </w:p>
          <w:bookmarkEnd w:id="14"/>
          <w:p w14:paraId="143B21EB">
            <w:pPr>
              <w:spacing w:line="360" w:lineRule="auto"/>
              <w:ind w:firstLine="482" w:firstLineChars="200"/>
              <w:jc w:val="both"/>
              <w:rPr>
                <w:rFonts w:hint="default" w:ascii="Times New Roman" w:hAnsi="Times New Roman" w:eastAsia="宋体" w:cs="Times New Roman"/>
                <w:b/>
                <w:bCs/>
                <w:color w:val="auto"/>
                <w:sz w:val="24"/>
                <w:szCs w:val="24"/>
                <w:lang w:val="en-US" w:eastAsia="zh-CN"/>
              </w:rPr>
            </w:pPr>
            <w:r>
              <w:rPr>
                <w:rFonts w:ascii="Times New Roman" w:hAnsi="Times New Roman" w:eastAsia="宋体" w:cs="Times New Roman"/>
                <w:b/>
                <w:bCs/>
                <w:color w:val="auto"/>
                <w:sz w:val="24"/>
                <w:szCs w:val="24"/>
                <w:lang w:val="en-US" w:eastAsia="zh-CN"/>
              </w:rPr>
              <w:t xml:space="preserve">2.5 </w:t>
            </w:r>
            <w:r>
              <w:rPr>
                <w:rFonts w:hint="eastAsia" w:ascii="Times New Roman" w:hAnsi="Times New Roman" w:eastAsia="宋体" w:cs="Times New Roman"/>
                <w:b/>
                <w:bCs/>
                <w:color w:val="auto"/>
                <w:sz w:val="24"/>
                <w:szCs w:val="24"/>
                <w:lang w:val="en-US" w:eastAsia="zh-CN"/>
              </w:rPr>
              <w:t>劳动定员及工作制度</w:t>
            </w:r>
          </w:p>
          <w:p w14:paraId="59E45F21">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劳动定员</w:t>
            </w:r>
            <w:r>
              <w:rPr>
                <w:rFonts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全厂劳动定员60人，</w:t>
            </w:r>
            <w:r>
              <w:rPr>
                <w:rFonts w:ascii="Times New Roman" w:hAnsi="Times New Roman" w:eastAsia="宋体" w:cs="Times New Roman"/>
                <w:color w:val="auto"/>
                <w:sz w:val="24"/>
                <w:szCs w:val="24"/>
                <w:lang w:eastAsia="zh-CN"/>
              </w:rPr>
              <w:t>本项目劳动定员</w:t>
            </w:r>
            <w:r>
              <w:rPr>
                <w:rFonts w:hint="eastAsia" w:ascii="Times New Roman" w:hAnsi="Times New Roman" w:eastAsia="宋体" w:cs="Times New Roman"/>
                <w:color w:val="auto"/>
                <w:sz w:val="24"/>
                <w:szCs w:val="24"/>
                <w:lang w:val="en-US" w:eastAsia="zh-CN"/>
              </w:rPr>
              <w:t>4人，从现有职工当中调剂，不新增职工</w:t>
            </w:r>
            <w:r>
              <w:rPr>
                <w:rFonts w:ascii="Times New Roman" w:hAnsi="Times New Roman" w:eastAsia="宋体" w:cs="Times New Roman"/>
                <w:color w:val="auto"/>
                <w:sz w:val="24"/>
                <w:szCs w:val="24"/>
                <w:lang w:eastAsia="zh-CN"/>
              </w:rPr>
              <w:t>。</w:t>
            </w:r>
          </w:p>
          <w:p w14:paraId="6CD48577">
            <w:pPr>
              <w:spacing w:line="360" w:lineRule="auto"/>
              <w:ind w:firstLine="480" w:firstLineChars="200"/>
              <w:jc w:val="both"/>
              <w:rPr>
                <w:rFonts w:ascii="Times New Roman" w:hAnsi="Times New Roman" w:eastAsia="宋体" w:cs="Times New Roman"/>
                <w:b/>
                <w:bCs/>
                <w:color w:val="auto"/>
                <w:sz w:val="24"/>
                <w:szCs w:val="24"/>
                <w:lang w:eastAsia="zh-CN"/>
              </w:rPr>
            </w:pPr>
            <w:r>
              <w:rPr>
                <w:rFonts w:ascii="Times New Roman" w:hAnsi="Times New Roman" w:eastAsia="宋体" w:cs="Times New Roman"/>
                <w:color w:val="auto"/>
                <w:sz w:val="24"/>
                <w:szCs w:val="24"/>
                <w:lang w:eastAsia="zh-CN"/>
              </w:rPr>
              <w:t>工作制度：</w:t>
            </w:r>
            <w:r>
              <w:rPr>
                <w:rFonts w:hint="eastAsia" w:ascii="Times New Roman" w:hAnsi="Times New Roman" w:eastAsia="宋体" w:cs="Times New Roman"/>
                <w:color w:val="auto"/>
                <w:sz w:val="24"/>
                <w:szCs w:val="24"/>
                <w:lang w:val="en-US" w:eastAsia="zh-CN"/>
              </w:rPr>
              <w:t>现有工程工作制度</w:t>
            </w:r>
            <w:r>
              <w:rPr>
                <w:rFonts w:ascii="Times New Roman" w:hAnsi="Times New Roman" w:eastAsia="宋体" w:cs="Times New Roman"/>
                <w:color w:val="auto"/>
                <w:sz w:val="24"/>
                <w:szCs w:val="24"/>
                <w:lang w:eastAsia="zh-CN"/>
              </w:rPr>
              <w:t>为</w:t>
            </w:r>
            <w:r>
              <w:rPr>
                <w:rFonts w:hint="eastAsia" w:ascii="Times New Roman" w:hAnsi="Times New Roman" w:eastAsia="宋体" w:cs="Times New Roman"/>
                <w:color w:val="auto"/>
                <w:sz w:val="24"/>
                <w:szCs w:val="24"/>
                <w:lang w:val="en-US" w:eastAsia="zh-CN"/>
              </w:rPr>
              <w:t>330</w:t>
            </w:r>
            <w:r>
              <w:rPr>
                <w:rFonts w:hint="eastAsia" w:ascii="Times New Roman" w:hAnsi="Times New Roman" w:eastAsia="宋体" w:cs="Times New Roman"/>
                <w:color w:val="auto"/>
                <w:sz w:val="24"/>
                <w:szCs w:val="24"/>
                <w:lang w:eastAsia="zh-CN"/>
              </w:rPr>
              <w:t>天</w:t>
            </w:r>
            <w:r>
              <w:rPr>
                <w:rFonts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每天</w:t>
            </w:r>
            <w:r>
              <w:rPr>
                <w:rFonts w:ascii="Times New Roman" w:hAnsi="Times New Roman" w:eastAsia="宋体" w:cs="Times New Roman"/>
                <w:color w:val="auto"/>
                <w:sz w:val="24"/>
                <w:szCs w:val="24"/>
                <w:lang w:eastAsia="zh-CN"/>
              </w:rPr>
              <w:t>工作</w:t>
            </w:r>
            <w:r>
              <w:rPr>
                <w:rFonts w:hint="eastAsia" w:ascii="Times New Roman" w:hAnsi="Times New Roman" w:eastAsia="宋体" w:cs="Times New Roman"/>
                <w:color w:val="auto"/>
                <w:sz w:val="24"/>
                <w:szCs w:val="24"/>
                <w:lang w:val="en-US" w:eastAsia="zh-CN"/>
              </w:rPr>
              <w:t>24</w:t>
            </w:r>
            <w:r>
              <w:rPr>
                <w:rFonts w:ascii="Times New Roman" w:hAnsi="Times New Roman" w:eastAsia="宋体" w:cs="Times New Roman"/>
                <w:color w:val="auto"/>
                <w:sz w:val="24"/>
                <w:szCs w:val="24"/>
                <w:lang w:eastAsia="zh-CN"/>
              </w:rPr>
              <w:t>小时</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本项目</w:t>
            </w:r>
            <w:r>
              <w:rPr>
                <w:rFonts w:hint="eastAsia" w:ascii="Times New Roman" w:hAnsi="Times New Roman" w:eastAsia="宋体" w:cs="Times New Roman"/>
                <w:color w:val="auto"/>
                <w:sz w:val="24"/>
                <w:szCs w:val="24"/>
                <w:lang w:val="en-US" w:eastAsia="zh-CN"/>
              </w:rPr>
              <w:t>根据客户需求设置为</w:t>
            </w:r>
            <w:r>
              <w:rPr>
                <w:rFonts w:ascii="Times New Roman" w:hAnsi="Times New Roman" w:eastAsia="宋体" w:cs="Times New Roman"/>
                <w:color w:val="auto"/>
                <w:sz w:val="24"/>
                <w:szCs w:val="24"/>
                <w:lang w:eastAsia="zh-CN"/>
              </w:rPr>
              <w:t>年工作日为</w:t>
            </w:r>
            <w:r>
              <w:rPr>
                <w:rFonts w:hint="eastAsia" w:ascii="Times New Roman" w:hAnsi="Times New Roman" w:eastAsia="宋体" w:cs="Times New Roman"/>
                <w:color w:val="auto"/>
                <w:sz w:val="24"/>
                <w:szCs w:val="24"/>
                <w:lang w:eastAsia="zh-CN"/>
              </w:rPr>
              <w:t>250天</w:t>
            </w:r>
            <w:r>
              <w:rPr>
                <w:rFonts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每天</w:t>
            </w:r>
            <w:r>
              <w:rPr>
                <w:rFonts w:ascii="Times New Roman" w:hAnsi="Times New Roman" w:eastAsia="宋体" w:cs="Times New Roman"/>
                <w:color w:val="auto"/>
                <w:sz w:val="24"/>
                <w:szCs w:val="24"/>
                <w:lang w:eastAsia="zh-CN"/>
              </w:rPr>
              <w:t>工作8小时。</w:t>
            </w:r>
          </w:p>
          <w:p w14:paraId="232817E2">
            <w:pPr>
              <w:spacing w:line="360" w:lineRule="auto"/>
              <w:ind w:firstLine="482" w:firstLineChars="200"/>
              <w:jc w:val="both"/>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2.6 平面布置</w:t>
            </w:r>
          </w:p>
          <w:p w14:paraId="279A6F89">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总平面布置原则是在满足生产工艺要求的基础上，根据交通运输、消防、安全、卫生、绿化、综合管网、施工等要求，结合厂区地形、地质、气象等自然条件，全面地、因地制宜地对工厂建筑物、运输线路和绿化等进行总平面布置，力求紧凑合理，节约用地，节省投资，有利生产，方便管理。</w:t>
            </w:r>
          </w:p>
          <w:p w14:paraId="4D85E0F7">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利用</w:t>
            </w:r>
            <w:r>
              <w:rPr>
                <w:rFonts w:hint="eastAsia" w:ascii="Times New Roman" w:hAnsi="Times New Roman" w:eastAsia="宋体" w:cs="Times New Roman"/>
                <w:color w:val="auto"/>
                <w:sz w:val="24"/>
                <w:szCs w:val="24"/>
                <w:lang w:val="en-US" w:eastAsia="zh-CN"/>
              </w:rPr>
              <w:t>厂区</w:t>
            </w:r>
            <w:r>
              <w:rPr>
                <w:rFonts w:hint="default" w:ascii="Times New Roman" w:hAnsi="Times New Roman" w:eastAsia="宋体" w:cs="Times New Roman"/>
                <w:color w:val="auto"/>
                <w:sz w:val="24"/>
                <w:szCs w:val="24"/>
                <w:lang w:val="en-US" w:eastAsia="zh-CN"/>
              </w:rPr>
              <w:t>的进出厂门</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eastAsia="zh-CN"/>
              </w:rPr>
              <w:t>总平面图布置示意图见附图2。</w:t>
            </w:r>
          </w:p>
          <w:p w14:paraId="6AA1B281">
            <w:pPr>
              <w:spacing w:line="360" w:lineRule="auto"/>
              <w:ind w:firstLine="482" w:firstLineChars="200"/>
              <w:jc w:val="both"/>
              <w:rPr>
                <w:rFonts w:hint="eastAsia" w:ascii="Times New Roman" w:hAnsi="Times New Roman" w:eastAsia="宋体" w:cs="Times New Roman"/>
                <w:b/>
                <w:bCs/>
                <w:sz w:val="24"/>
                <w:szCs w:val="24"/>
                <w:lang w:eastAsia="zh-CN"/>
              </w:rPr>
            </w:pPr>
            <w:r>
              <w:rPr>
                <w:rFonts w:hint="eastAsia" w:ascii="Times New Roman" w:hAnsi="Times New Roman" w:eastAsia="宋体" w:cs="Times New Roman"/>
                <w:b/>
                <w:bCs/>
                <w:sz w:val="24"/>
                <w:szCs w:val="24"/>
                <w:lang w:val="en-US" w:eastAsia="zh-CN"/>
              </w:rPr>
              <w:t>2.7 公辅工程</w:t>
            </w:r>
          </w:p>
          <w:p w14:paraId="77F8BD13">
            <w:pPr>
              <w:spacing w:line="360" w:lineRule="auto"/>
              <w:ind w:firstLine="480" w:firstLineChars="200"/>
              <w:jc w:val="both"/>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 xml:space="preserve">2.7.1 给水 </w:t>
            </w:r>
          </w:p>
          <w:p w14:paraId="09C427A4">
            <w:pPr>
              <w:spacing w:line="360" w:lineRule="auto"/>
              <w:ind w:firstLine="480" w:firstLineChars="200"/>
              <w:jc w:val="both"/>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sz w:val="24"/>
                <w:szCs w:val="24"/>
                <w:lang w:val="en-US" w:eastAsia="zh-CN"/>
              </w:rPr>
              <w:t>水源</w:t>
            </w:r>
            <w:r>
              <w:rPr>
                <w:rFonts w:hint="eastAsia" w:ascii="Times New Roman" w:hAnsi="Times New Roman" w:eastAsia="宋体" w:cs="Times New Roman"/>
                <w:sz w:val="24"/>
                <w:szCs w:val="24"/>
                <w:lang w:eastAsia="zh-CN"/>
              </w:rPr>
              <w:t>由</w:t>
            </w:r>
            <w:r>
              <w:rPr>
                <w:rFonts w:hint="eastAsia" w:ascii="Times New Roman" w:hAnsi="Times New Roman" w:eastAsia="宋体" w:cs="Times New Roman"/>
                <w:sz w:val="24"/>
                <w:szCs w:val="24"/>
                <w:lang w:val="en-US" w:eastAsia="zh-CN"/>
              </w:rPr>
              <w:t>闫李庄村管网</w:t>
            </w:r>
            <w:r>
              <w:rPr>
                <w:rFonts w:hint="eastAsia" w:ascii="Times New Roman" w:hAnsi="Times New Roman" w:eastAsia="宋体" w:cs="Times New Roman"/>
                <w:sz w:val="24"/>
                <w:szCs w:val="24"/>
                <w:lang w:eastAsia="zh-CN"/>
              </w:rPr>
              <w:t>供给，</w:t>
            </w:r>
            <w:r>
              <w:rPr>
                <w:rFonts w:hint="eastAsia" w:ascii="Times New Roman" w:hAnsi="Times New Roman" w:eastAsia="宋体" w:cs="Times New Roman"/>
                <w:color w:val="auto"/>
                <w:sz w:val="24"/>
                <w:szCs w:val="24"/>
                <w:highlight w:val="none"/>
                <w:lang w:val="en-US" w:eastAsia="zh-CN"/>
              </w:rPr>
              <w:t>本工程不涉及用水</w:t>
            </w:r>
            <w:r>
              <w:rPr>
                <w:rFonts w:hint="default" w:ascii="Times New Roman" w:hAnsi="Times New Roman" w:cs="Times New Roman"/>
                <w:color w:val="auto"/>
                <w:sz w:val="24"/>
                <w:szCs w:val="24"/>
                <w:highlight w:val="none"/>
              </w:rPr>
              <w:t>。</w:t>
            </w:r>
          </w:p>
          <w:p w14:paraId="65FD888D">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排水主要为初期雨水</w:t>
            </w:r>
          </w:p>
          <w:p w14:paraId="2C06B41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lang w:val="en-US" w:eastAsia="zh-CN"/>
              </w:rPr>
              <w:t>总占地面积约50亩，33333.58m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，现有生产区面积约为10000m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,扩建后生产区面积约为11200m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highlight w:val="none"/>
              </w:rPr>
              <w:t>初期雨水量按下列公式进行计算：</w:t>
            </w:r>
          </w:p>
          <w:p w14:paraId="0A3EBCD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Q＝φ×q×F×t</w:t>
            </w:r>
          </w:p>
          <w:p w14:paraId="0BDA9B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φ--径流系数</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0.9</w:t>
            </w:r>
            <w:r>
              <w:rPr>
                <w:rFonts w:hint="default" w:ascii="Times New Roman" w:hAnsi="Times New Roman" w:eastAsia="宋体" w:cs="Times New Roman"/>
                <w:color w:val="auto"/>
                <w:sz w:val="24"/>
                <w:szCs w:val="24"/>
                <w:highlight w:val="none"/>
              </w:rPr>
              <w:t>；</w:t>
            </w:r>
          </w:p>
          <w:p w14:paraId="7AD4ACC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q--暴雨强度（L/S.hm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6E5A39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F--汇水面积，</w:t>
            </w:r>
            <w:r>
              <w:rPr>
                <w:rFonts w:hint="eastAsia" w:ascii="Times New Roman" w:hAnsi="Times New Roman" w:eastAsia="宋体" w:cs="Times New Roman"/>
                <w:color w:val="auto"/>
                <w:sz w:val="24"/>
                <w:szCs w:val="24"/>
                <w:lang w:val="en-US" w:eastAsia="zh-CN"/>
              </w:rPr>
              <w:t>11200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10C3AB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t--降雨历时</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15min</w:t>
            </w:r>
            <w:r>
              <w:rPr>
                <w:rFonts w:hint="default" w:ascii="Times New Roman" w:hAnsi="Times New Roman" w:eastAsia="宋体" w:cs="Times New Roman"/>
                <w:color w:val="auto"/>
                <w:sz w:val="24"/>
                <w:szCs w:val="24"/>
                <w:highlight w:val="none"/>
              </w:rPr>
              <w:t>。</w:t>
            </w:r>
          </w:p>
          <w:p w14:paraId="5D4BAD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暴雨强度q采用暴雨强度公式：</w:t>
            </w:r>
          </w:p>
          <w:p w14:paraId="32E7926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q=</w:t>
            </w:r>
            <w:r>
              <w:rPr>
                <w:rFonts w:hint="eastAsia" w:ascii="Times New Roman" w:hAnsi="Times New Roman" w:eastAsia="宋体" w:cs="Times New Roman"/>
                <w:color w:val="auto"/>
                <w:sz w:val="24"/>
                <w:szCs w:val="24"/>
                <w:highlight w:val="none"/>
                <w:lang w:val="en-US" w:eastAsia="zh-CN"/>
              </w:rPr>
              <w:t>3340</w:t>
            </w:r>
            <w:r>
              <w:rPr>
                <w:rFonts w:hint="default" w:ascii="Times New Roman" w:hAnsi="Times New Roman" w:eastAsia="宋体" w:cs="Times New Roman"/>
                <w:color w:val="auto"/>
                <w:sz w:val="24"/>
                <w:szCs w:val="24"/>
                <w:highlight w:val="none"/>
              </w:rPr>
              <w:t>(1+1.</w:t>
            </w:r>
            <w:r>
              <w:rPr>
                <w:rFonts w:hint="eastAsia" w:ascii="Times New Roman" w:hAnsi="Times New Roman" w:eastAsia="宋体" w:cs="Times New Roman"/>
                <w:color w:val="auto"/>
                <w:sz w:val="24"/>
                <w:szCs w:val="24"/>
                <w:highlight w:val="none"/>
                <w:lang w:val="en-US" w:eastAsia="zh-CN"/>
              </w:rPr>
              <w:t>43</w:t>
            </w:r>
            <w:r>
              <w:rPr>
                <w:rFonts w:hint="default" w:ascii="Times New Roman" w:hAnsi="Times New Roman" w:eastAsia="宋体" w:cs="Times New Roman"/>
                <w:color w:val="auto"/>
                <w:sz w:val="24"/>
                <w:szCs w:val="24"/>
                <w:highlight w:val="none"/>
              </w:rPr>
              <w:t>lgT)/(t+</w:t>
            </w:r>
            <w:r>
              <w:rPr>
                <w:rFonts w:hint="eastAsia" w:ascii="Times New Roman" w:hAnsi="Times New Roman" w:eastAsia="宋体" w:cs="Times New Roman"/>
                <w:color w:val="auto"/>
                <w:sz w:val="24"/>
                <w:szCs w:val="24"/>
                <w:highlight w:val="none"/>
                <w:lang w:val="en-US" w:eastAsia="zh-CN"/>
              </w:rPr>
              <w:t>15.8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vertAlign w:val="superscript"/>
              </w:rPr>
              <w:t>0.</w:t>
            </w:r>
            <w:r>
              <w:rPr>
                <w:rFonts w:hint="eastAsia" w:ascii="Times New Roman" w:hAnsi="Times New Roman" w:eastAsia="宋体" w:cs="Times New Roman"/>
                <w:color w:val="auto"/>
                <w:sz w:val="24"/>
                <w:szCs w:val="24"/>
                <w:highlight w:val="none"/>
                <w:vertAlign w:val="superscript"/>
                <w:lang w:val="en-US" w:eastAsia="zh-CN"/>
              </w:rPr>
              <w:t>93</w:t>
            </w:r>
          </w:p>
          <w:p w14:paraId="5A17ECE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rPr>
              <w:t>经计算，</w:t>
            </w:r>
            <w:r>
              <w:rPr>
                <w:rFonts w:hint="eastAsia" w:ascii="Times New Roman" w:hAnsi="Times New Roman" w:eastAsia="宋体" w:cs="Times New Roman"/>
                <w:color w:val="auto"/>
                <w:sz w:val="24"/>
                <w:szCs w:val="24"/>
                <w:highlight w:val="none"/>
                <w:lang w:val="en-US" w:eastAsia="zh-CN"/>
              </w:rPr>
              <w:t>雨水流量</w:t>
            </w:r>
            <w:r>
              <w:rPr>
                <w:rFonts w:hint="default" w:ascii="Times New Roman" w:hAnsi="Times New Roman" w:eastAsia="宋体" w:cs="Times New Roman"/>
                <w:color w:val="auto"/>
                <w:sz w:val="24"/>
                <w:szCs w:val="24"/>
                <w:highlight w:val="none"/>
              </w:rPr>
              <w:t>为</w:t>
            </w:r>
            <w:r>
              <w:rPr>
                <w:rFonts w:hint="eastAsia" w:ascii="Times New Roman" w:hAnsi="Times New Roman" w:eastAsia="宋体" w:cs="Times New Roman"/>
                <w:color w:val="auto"/>
                <w:sz w:val="24"/>
                <w:szCs w:val="24"/>
                <w:highlight w:val="none"/>
                <w:lang w:val="en-US" w:eastAsia="zh-CN"/>
              </w:rPr>
              <w:t>198.76L/s，15min初期雨水量为178.89m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lang w:val="en-US" w:eastAsia="zh-CN"/>
              </w:rPr>
              <w:t>现有工程未设置初期雨水池，因此设置1座200m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初期雨水池，可满足扩建后初期雨水收集要求。</w:t>
            </w:r>
          </w:p>
          <w:p w14:paraId="25954308">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2.7.2 供电</w:t>
            </w:r>
          </w:p>
          <w:p w14:paraId="094A402A">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由长钢集团变电站提供，依托现有变压器。</w:t>
            </w:r>
          </w:p>
          <w:p w14:paraId="6827F85C">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2.7.3供热</w:t>
            </w:r>
          </w:p>
          <w:p w14:paraId="20155035">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必要时采用电采暖。</w:t>
            </w:r>
          </w:p>
          <w:p w14:paraId="508E90C5">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33E3B294">
            <w:pPr>
              <w:pStyle w:val="2"/>
              <w:ind w:left="0" w:leftChars="0" w:firstLine="0" w:firstLineChars="0"/>
              <w:rPr>
                <w:rFonts w:hint="eastAsia"/>
                <w:lang w:val="en-US" w:eastAsia="zh-CN"/>
              </w:rPr>
            </w:pPr>
          </w:p>
          <w:p w14:paraId="18E32661">
            <w:pPr>
              <w:pStyle w:val="2"/>
              <w:ind w:left="0" w:leftChars="0" w:firstLine="0" w:firstLineChars="0"/>
              <w:rPr>
                <w:rFonts w:hint="eastAsia"/>
                <w:lang w:val="en-US" w:eastAsia="zh-CN"/>
              </w:rPr>
            </w:pPr>
          </w:p>
          <w:p w14:paraId="5A5F052E">
            <w:pPr>
              <w:pStyle w:val="2"/>
              <w:ind w:left="0" w:leftChars="0" w:firstLine="0" w:firstLineChars="0"/>
              <w:rPr>
                <w:rFonts w:hint="eastAsia"/>
                <w:lang w:val="en-US" w:eastAsia="zh-CN"/>
              </w:rPr>
            </w:pPr>
          </w:p>
          <w:p w14:paraId="6C3C9BAB">
            <w:pPr>
              <w:pStyle w:val="2"/>
              <w:ind w:left="0" w:leftChars="0" w:firstLine="0" w:firstLineChars="0"/>
              <w:rPr>
                <w:rFonts w:hint="eastAsia"/>
                <w:lang w:val="en-US" w:eastAsia="zh-CN"/>
              </w:rPr>
            </w:pPr>
          </w:p>
          <w:p w14:paraId="7A3F27A0">
            <w:pPr>
              <w:pStyle w:val="2"/>
              <w:ind w:left="0" w:leftChars="0" w:firstLine="0" w:firstLineChars="0"/>
              <w:rPr>
                <w:rFonts w:hint="eastAsia"/>
                <w:lang w:val="en-US" w:eastAsia="zh-CN"/>
              </w:rPr>
            </w:pPr>
          </w:p>
          <w:p w14:paraId="5272AB07">
            <w:pPr>
              <w:pStyle w:val="2"/>
              <w:ind w:left="0" w:leftChars="0" w:firstLine="0" w:firstLineChars="0"/>
              <w:rPr>
                <w:rFonts w:hint="eastAsia"/>
                <w:lang w:val="en-US" w:eastAsia="zh-CN"/>
              </w:rPr>
            </w:pPr>
          </w:p>
          <w:p w14:paraId="4519F1AB">
            <w:pPr>
              <w:pStyle w:val="2"/>
              <w:ind w:left="0" w:leftChars="0" w:firstLine="0" w:firstLineChars="0"/>
              <w:rPr>
                <w:rFonts w:hint="eastAsia"/>
                <w:lang w:val="en-US" w:eastAsia="zh-CN"/>
              </w:rPr>
            </w:pPr>
          </w:p>
          <w:p w14:paraId="2986B9A0">
            <w:pPr>
              <w:pStyle w:val="2"/>
              <w:ind w:left="0" w:leftChars="0" w:firstLine="0" w:firstLineChars="0"/>
              <w:rPr>
                <w:rFonts w:hint="default"/>
                <w:lang w:val="en-US" w:eastAsia="zh-CN"/>
              </w:rPr>
            </w:pPr>
          </w:p>
        </w:tc>
      </w:tr>
      <w:tr w14:paraId="72AC2A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95" w:type="dxa"/>
            <w:tcBorders>
              <w:tl2br w:val="nil"/>
              <w:tr2bl w:val="nil"/>
            </w:tcBorders>
            <w:vAlign w:val="center"/>
          </w:tcPr>
          <w:p w14:paraId="42A8EC83">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工艺流程和产排污环节</w:t>
            </w:r>
          </w:p>
        </w:tc>
        <w:tc>
          <w:tcPr>
            <w:tcW w:w="8145" w:type="dxa"/>
            <w:tcBorders>
              <w:tl2br w:val="nil"/>
              <w:tr2bl w:val="nil"/>
            </w:tcBorders>
            <w:vAlign w:val="center"/>
          </w:tcPr>
          <w:p w14:paraId="68100D88">
            <w:pPr>
              <w:spacing w:line="360" w:lineRule="auto"/>
              <w:ind w:firstLine="482" w:firstLineChars="200"/>
              <w:jc w:val="both"/>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 xml:space="preserve">2.8 生产工艺流程和产排污环节 </w:t>
            </w:r>
          </w:p>
          <w:p w14:paraId="08D70CFA">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2.8.</w:t>
            </w:r>
            <w:r>
              <w:rPr>
                <w:rFonts w:hint="eastAsia" w:ascii="Times New Roman" w:hAnsi="Times New Roman" w:eastAsia="宋体" w:cs="Times New Roman"/>
                <w:b/>
                <w:bCs/>
                <w:color w:val="auto"/>
                <w:sz w:val="24"/>
                <w:szCs w:val="24"/>
                <w:lang w:eastAsia="zh-CN"/>
              </w:rPr>
              <w:t>1施工期</w:t>
            </w:r>
          </w:p>
          <w:p w14:paraId="15F0AF40">
            <w:pPr>
              <w:spacing w:line="360" w:lineRule="auto"/>
              <w:ind w:firstLine="482"/>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（1）工艺流程（图示）</w:t>
            </w:r>
          </w:p>
          <w:p w14:paraId="5CC53E35">
            <w:pPr>
              <w:spacing w:line="360" w:lineRule="auto"/>
              <w:jc w:val="center"/>
              <w:rPr>
                <w:rFonts w:ascii="Times New Roman" w:hAnsi="Times New Roman" w:cs="Times New Roman"/>
                <w:b/>
                <w:color w:val="auto"/>
                <w:sz w:val="21"/>
                <w:szCs w:val="21"/>
              </w:rPr>
            </w:pPr>
            <w:r>
              <w:rPr>
                <w:rFonts w:hint="eastAsia" w:ascii="Times New Roman" w:hAnsi="Times New Roman" w:eastAsia="宋体" w:cs="Times New Roman"/>
                <w:color w:val="auto"/>
                <w:sz w:val="24"/>
                <w:szCs w:val="24"/>
                <w:lang w:eastAsia="zh-CN"/>
              </w:rPr>
              <w:object>
                <v:shape id="_x0000_i1026" o:spt="75" type="#_x0000_t75" style="height:98.65pt;width:203.25pt;" o:ole="t" filled="f" o:preferrelative="t" stroked="f" coordsize="21600,21600">
                  <v:path/>
                  <v:fill on="f" focussize="0,0"/>
                  <v:stroke on="f"/>
                  <v:imagedata r:id="rId30" o:title=""/>
                  <o:lock v:ext="edit" aspectratio="f"/>
                  <w10:wrap type="none"/>
                  <w10:anchorlock/>
                </v:shape>
                <o:OLEObject Type="Embed" ProgID="Visio.Drawing.11" ShapeID="_x0000_i1026" DrawAspect="Content" ObjectID="_1468075726" r:id="rId29">
                  <o:LockedField>false</o:LockedField>
                </o:OLEObject>
              </w:object>
            </w:r>
          </w:p>
          <w:p w14:paraId="2691066F">
            <w:pPr>
              <w:jc w:val="center"/>
              <w:rPr>
                <w:rFonts w:ascii="Times New Roman" w:hAnsi="Times New Roman" w:cs="Times New Roman"/>
                <w:b/>
                <w:color w:val="auto"/>
                <w:sz w:val="21"/>
                <w:szCs w:val="21"/>
                <w:lang w:eastAsia="zh-CN"/>
              </w:rPr>
            </w:pPr>
          </w:p>
          <w:p w14:paraId="2D38AFA1">
            <w:pPr>
              <w:jc w:val="center"/>
              <w:rPr>
                <w:rFonts w:ascii="Times New Roman" w:hAnsi="Times New Roman" w:cs="Times New Roman"/>
                <w:b/>
                <w:color w:val="auto"/>
                <w:sz w:val="21"/>
                <w:szCs w:val="21"/>
                <w:lang w:eastAsia="zh-CN"/>
              </w:rPr>
            </w:pPr>
            <w:r>
              <w:rPr>
                <w:rFonts w:ascii="Times New Roman" w:hAnsi="Times New Roman" w:cs="Times New Roman"/>
                <w:b/>
                <w:color w:val="auto"/>
                <w:sz w:val="21"/>
                <w:szCs w:val="21"/>
                <w:lang w:eastAsia="zh-CN"/>
              </w:rPr>
              <w:t>图</w:t>
            </w:r>
            <w:r>
              <w:rPr>
                <w:rFonts w:ascii="Times New Roman" w:hAnsi="Times New Roman" w:eastAsia="宋体" w:cs="Times New Roman"/>
                <w:b/>
                <w:color w:val="auto"/>
                <w:sz w:val="21"/>
                <w:szCs w:val="21"/>
                <w:lang w:eastAsia="zh-CN"/>
              </w:rPr>
              <w:t>2</w:t>
            </w:r>
            <w:r>
              <w:rPr>
                <w:rFonts w:hint="eastAsia" w:ascii="Times New Roman" w:hAnsi="Times New Roman" w:eastAsia="宋体" w:cs="Times New Roman"/>
                <w:b/>
                <w:color w:val="auto"/>
                <w:sz w:val="21"/>
                <w:szCs w:val="21"/>
                <w:lang w:val="en-US" w:eastAsia="zh-CN"/>
              </w:rPr>
              <w:t>.8</w:t>
            </w:r>
            <w:r>
              <w:rPr>
                <w:rFonts w:ascii="Times New Roman" w:hAnsi="Times New Roman" w:eastAsia="宋体" w:cs="Times New Roman"/>
                <w:b/>
                <w:color w:val="auto"/>
                <w:sz w:val="21"/>
                <w:szCs w:val="21"/>
                <w:lang w:eastAsia="zh-CN"/>
              </w:rPr>
              <w:t>-</w:t>
            </w:r>
            <w:r>
              <w:rPr>
                <w:rFonts w:hint="eastAsia" w:ascii="Times New Roman" w:hAnsi="Times New Roman" w:eastAsia="宋体" w:cs="Times New Roman"/>
                <w:b/>
                <w:color w:val="auto"/>
                <w:sz w:val="21"/>
                <w:szCs w:val="21"/>
                <w:lang w:val="en-US" w:eastAsia="zh-CN"/>
              </w:rPr>
              <w:t>1</w:t>
            </w:r>
            <w:r>
              <w:rPr>
                <w:rFonts w:hint="eastAsia" w:ascii="Times New Roman" w:hAnsi="Times New Roman" w:eastAsia="宋体" w:cs="Times New Roman"/>
                <w:b/>
                <w:color w:val="auto"/>
                <w:sz w:val="21"/>
                <w:szCs w:val="21"/>
                <w:lang w:eastAsia="zh-CN"/>
              </w:rPr>
              <w:t xml:space="preserve"> </w:t>
            </w:r>
            <w:r>
              <w:rPr>
                <w:rFonts w:ascii="Times New Roman" w:hAnsi="Times New Roman" w:cs="Times New Roman"/>
                <w:b/>
                <w:color w:val="auto"/>
                <w:sz w:val="21"/>
                <w:szCs w:val="21"/>
                <w:lang w:eastAsia="zh-CN"/>
              </w:rPr>
              <w:t>施工期工艺流程及产污环节图</w:t>
            </w:r>
          </w:p>
          <w:p w14:paraId="3E138844">
            <w:pPr>
              <w:spacing w:line="360" w:lineRule="auto"/>
              <w:ind w:firstLine="482"/>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（2）工艺流程简述</w:t>
            </w:r>
          </w:p>
          <w:p w14:paraId="45648C77">
            <w:pPr>
              <w:spacing w:line="360" w:lineRule="auto"/>
              <w:ind w:firstLine="482"/>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Cs/>
                <w:color w:val="auto"/>
                <w:sz w:val="24"/>
                <w:szCs w:val="24"/>
                <w:lang w:eastAsia="zh-CN"/>
              </w:rPr>
              <w:t>主要进行设备的安装、调试。该环节主要产生施工噪声</w:t>
            </w:r>
            <w:r>
              <w:rPr>
                <w:rFonts w:hint="eastAsia" w:ascii="Times New Roman" w:hAnsi="Times New Roman" w:eastAsia="宋体" w:cs="Times New Roman"/>
                <w:bCs/>
                <w:color w:val="auto"/>
                <w:sz w:val="24"/>
                <w:szCs w:val="24"/>
                <w:lang w:val="en-US" w:eastAsia="zh-CN"/>
              </w:rPr>
              <w:t>以及包装垃圾</w:t>
            </w:r>
            <w:r>
              <w:rPr>
                <w:rFonts w:hint="eastAsia" w:ascii="Times New Roman" w:hAnsi="Times New Roman" w:eastAsia="宋体" w:cs="Times New Roman"/>
                <w:bCs/>
                <w:color w:val="auto"/>
                <w:sz w:val="24"/>
                <w:szCs w:val="24"/>
                <w:lang w:eastAsia="zh-CN"/>
              </w:rPr>
              <w:t>。其中，</w:t>
            </w:r>
            <w:r>
              <w:rPr>
                <w:rFonts w:hint="eastAsia" w:ascii="Times New Roman" w:hAnsi="Times New Roman" w:eastAsia="宋体" w:cs="Times New Roman"/>
                <w:bCs/>
                <w:color w:val="auto"/>
                <w:sz w:val="24"/>
                <w:szCs w:val="24"/>
                <w:lang w:val="en-US" w:eastAsia="zh-CN"/>
              </w:rPr>
              <w:t>包装垃圾</w:t>
            </w:r>
            <w:r>
              <w:rPr>
                <w:rFonts w:hint="eastAsia" w:ascii="Times New Roman" w:hAnsi="Times New Roman" w:eastAsia="宋体" w:cs="Times New Roman"/>
                <w:bCs/>
                <w:color w:val="auto"/>
                <w:sz w:val="24"/>
                <w:szCs w:val="24"/>
                <w:lang w:eastAsia="zh-CN"/>
              </w:rPr>
              <w:t>可以</w:t>
            </w:r>
            <w:r>
              <w:rPr>
                <w:rFonts w:hint="eastAsia" w:ascii="Times New Roman" w:hAnsi="Times New Roman" w:eastAsia="宋体" w:cs="Times New Roman"/>
                <w:bCs/>
                <w:color w:val="auto"/>
                <w:sz w:val="24"/>
                <w:szCs w:val="24"/>
                <w:lang w:val="en-US" w:eastAsia="zh-CN"/>
              </w:rPr>
              <w:t>外售于废品回收站</w:t>
            </w:r>
            <w:r>
              <w:rPr>
                <w:rFonts w:hint="eastAsia" w:ascii="Times New Roman" w:hAnsi="Times New Roman" w:eastAsia="宋体" w:cs="Times New Roman"/>
                <w:bCs/>
                <w:color w:val="auto"/>
                <w:sz w:val="24"/>
                <w:szCs w:val="24"/>
                <w:lang w:eastAsia="zh-CN"/>
              </w:rPr>
              <w:t>；施工场地周围主要是企业，与农村居民点等相距较远，因此施工噪声对周围环境影响不大。</w:t>
            </w:r>
          </w:p>
          <w:p w14:paraId="1F812054">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2.8.2运营期</w:t>
            </w:r>
          </w:p>
          <w:p w14:paraId="454C9EB5">
            <w:pPr>
              <w:spacing w:line="360" w:lineRule="auto"/>
              <w:ind w:firstLine="482"/>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（1）工艺流程（图示）</w:t>
            </w:r>
          </w:p>
          <w:p w14:paraId="721157BB">
            <w:pPr>
              <w:spacing w:line="360" w:lineRule="auto"/>
              <w:ind w:firstLine="482"/>
              <w:jc w:val="both"/>
              <w:rPr>
                <w:rFonts w:hint="eastAsia" w:ascii="Times New Roman" w:hAnsi="Times New Roman" w:eastAsia="宋体" w:cs="Times New Roman"/>
                <w:bCs/>
                <w:color w:val="auto"/>
                <w:sz w:val="24"/>
                <w:szCs w:val="24"/>
                <w:lang w:val="en-US" w:eastAsia="zh-CN"/>
              </w:rPr>
            </w:pPr>
          </w:p>
          <w:p w14:paraId="747BBD1E">
            <w:pPr>
              <w:spacing w:line="360" w:lineRule="auto"/>
              <w:ind w:firstLine="482"/>
              <w:jc w:val="both"/>
              <w:rPr>
                <w:rFonts w:hint="eastAsia" w:ascii="Times New Roman" w:hAnsi="Times New Roman" w:eastAsia="宋体" w:cs="Times New Roman"/>
                <w:bCs/>
                <w:color w:val="auto"/>
                <w:sz w:val="24"/>
                <w:szCs w:val="24"/>
                <w:lang w:val="en-US" w:eastAsia="zh-CN"/>
              </w:rPr>
            </w:pPr>
          </w:p>
          <w:p w14:paraId="546F537B">
            <w:pPr>
              <w:spacing w:line="360" w:lineRule="auto"/>
              <w:ind w:firstLine="482"/>
              <w:jc w:val="both"/>
              <w:rPr>
                <w:rFonts w:hint="eastAsia" w:ascii="Times New Roman" w:hAnsi="Times New Roman" w:eastAsia="宋体" w:cs="Times New Roman"/>
                <w:bCs/>
                <w:color w:val="auto"/>
                <w:sz w:val="24"/>
                <w:szCs w:val="24"/>
                <w:lang w:val="en-US" w:eastAsia="zh-CN"/>
              </w:rPr>
            </w:pPr>
          </w:p>
          <w:p w14:paraId="6BEA0F41">
            <w:pPr>
              <w:spacing w:line="360" w:lineRule="auto"/>
              <w:ind w:firstLine="482"/>
              <w:jc w:val="both"/>
              <w:rPr>
                <w:rFonts w:hint="eastAsia" w:ascii="Times New Roman" w:hAnsi="Times New Roman" w:eastAsia="宋体" w:cs="Times New Roman"/>
                <w:bCs/>
                <w:color w:val="auto"/>
                <w:sz w:val="24"/>
                <w:szCs w:val="24"/>
                <w:lang w:val="en-US" w:eastAsia="zh-CN"/>
              </w:rPr>
            </w:pPr>
          </w:p>
          <w:p w14:paraId="030017BC">
            <w:pPr>
              <w:spacing w:line="360" w:lineRule="auto"/>
              <w:ind w:firstLine="482"/>
              <w:jc w:val="both"/>
              <w:rPr>
                <w:rFonts w:hint="eastAsia" w:ascii="Times New Roman" w:hAnsi="Times New Roman" w:eastAsia="宋体" w:cs="Times New Roman"/>
                <w:bCs/>
                <w:color w:val="auto"/>
                <w:sz w:val="24"/>
                <w:szCs w:val="24"/>
                <w:lang w:val="en-US" w:eastAsia="zh-CN"/>
              </w:rPr>
            </w:pPr>
          </w:p>
          <w:p w14:paraId="709DADBB">
            <w:pPr>
              <w:spacing w:line="360" w:lineRule="auto"/>
              <w:ind w:firstLine="482"/>
              <w:jc w:val="both"/>
              <w:rPr>
                <w:rFonts w:hint="eastAsia" w:ascii="Times New Roman" w:hAnsi="Times New Roman" w:eastAsia="宋体" w:cs="Times New Roman"/>
                <w:bCs/>
                <w:color w:val="auto"/>
                <w:sz w:val="24"/>
                <w:szCs w:val="24"/>
                <w:lang w:val="en-US" w:eastAsia="zh-CN"/>
              </w:rPr>
            </w:pPr>
          </w:p>
          <w:p w14:paraId="345C7B27">
            <w:pPr>
              <w:spacing w:line="360" w:lineRule="auto"/>
              <w:ind w:firstLine="482"/>
              <w:jc w:val="both"/>
              <w:rPr>
                <w:rFonts w:hint="eastAsia" w:ascii="Times New Roman" w:hAnsi="Times New Roman" w:eastAsia="宋体" w:cs="Times New Roman"/>
                <w:bCs/>
                <w:color w:val="auto"/>
                <w:sz w:val="24"/>
                <w:szCs w:val="24"/>
                <w:lang w:val="en-US" w:eastAsia="zh-CN"/>
              </w:rPr>
            </w:pPr>
          </w:p>
          <w:p w14:paraId="4A29791C">
            <w:pPr>
              <w:spacing w:line="360" w:lineRule="auto"/>
              <w:ind w:firstLine="482"/>
              <w:jc w:val="both"/>
              <w:rPr>
                <w:rFonts w:hint="eastAsia" w:ascii="Times New Roman" w:hAnsi="Times New Roman" w:eastAsia="宋体" w:cs="Times New Roman"/>
                <w:bCs/>
                <w:color w:val="auto"/>
                <w:sz w:val="24"/>
                <w:szCs w:val="24"/>
                <w:lang w:val="en-US" w:eastAsia="zh-CN"/>
              </w:rPr>
            </w:pPr>
          </w:p>
          <w:p w14:paraId="12403FB4">
            <w:pPr>
              <w:spacing w:line="360" w:lineRule="auto"/>
              <w:ind w:firstLine="482"/>
              <w:jc w:val="both"/>
              <w:rPr>
                <w:rFonts w:hint="eastAsia" w:ascii="Times New Roman" w:hAnsi="Times New Roman" w:eastAsia="宋体" w:cs="Times New Roman"/>
                <w:bCs/>
                <w:color w:val="auto"/>
                <w:sz w:val="24"/>
                <w:szCs w:val="24"/>
                <w:lang w:val="en-US" w:eastAsia="zh-CN"/>
              </w:rPr>
            </w:pPr>
          </w:p>
          <w:p w14:paraId="46891A48">
            <w:pPr>
              <w:spacing w:line="360" w:lineRule="auto"/>
              <w:ind w:firstLine="482"/>
              <w:jc w:val="both"/>
              <w:rPr>
                <w:rFonts w:hint="eastAsia" w:ascii="Times New Roman" w:hAnsi="Times New Roman" w:eastAsia="宋体" w:cs="Times New Roman"/>
                <w:bCs/>
                <w:color w:val="auto"/>
                <w:sz w:val="24"/>
                <w:szCs w:val="24"/>
                <w:lang w:val="en-US" w:eastAsia="zh-CN"/>
              </w:rPr>
            </w:pPr>
          </w:p>
          <w:p w14:paraId="29D9D2B9">
            <w:pPr>
              <w:spacing w:line="360" w:lineRule="auto"/>
              <w:ind w:firstLine="482"/>
              <w:jc w:val="both"/>
              <w:rPr>
                <w:rFonts w:hint="eastAsia" w:ascii="Times New Roman" w:hAnsi="Times New Roman" w:eastAsia="宋体" w:cs="Times New Roman"/>
                <w:bCs/>
                <w:color w:val="auto"/>
                <w:sz w:val="24"/>
                <w:szCs w:val="24"/>
                <w:lang w:val="en-US" w:eastAsia="zh-CN"/>
              </w:rPr>
            </w:pPr>
          </w:p>
          <w:p w14:paraId="2226F2FD">
            <w:pPr>
              <w:spacing w:line="360" w:lineRule="auto"/>
              <w:ind w:firstLine="482"/>
              <w:jc w:val="both"/>
              <w:rPr>
                <w:rFonts w:hint="eastAsia" w:ascii="Times New Roman" w:hAnsi="Times New Roman" w:eastAsia="宋体" w:cs="Times New Roman"/>
                <w:bCs/>
                <w:color w:val="auto"/>
                <w:sz w:val="24"/>
                <w:szCs w:val="24"/>
                <w:lang w:val="en-US" w:eastAsia="zh-CN"/>
              </w:rPr>
            </w:pPr>
          </w:p>
          <w:p w14:paraId="799FEDD2">
            <w:pPr>
              <w:spacing w:line="360" w:lineRule="auto"/>
              <w:ind w:firstLine="482"/>
              <w:jc w:val="both"/>
              <w:rPr>
                <w:rFonts w:hint="eastAsia" w:ascii="Times New Roman" w:hAnsi="Times New Roman" w:eastAsia="宋体" w:cs="Times New Roman"/>
                <w:bCs/>
                <w:color w:val="auto"/>
                <w:sz w:val="24"/>
                <w:szCs w:val="24"/>
                <w:lang w:val="en-US" w:eastAsia="zh-CN"/>
              </w:rPr>
            </w:pPr>
          </w:p>
          <w:p w14:paraId="63551FF7">
            <w:pPr>
              <w:spacing w:line="360" w:lineRule="auto"/>
              <w:ind w:firstLine="482"/>
              <w:jc w:val="both"/>
              <w:rPr>
                <w:rFonts w:hint="eastAsia" w:ascii="Times New Roman" w:hAnsi="Times New Roman" w:eastAsia="宋体" w:cs="Times New Roman"/>
                <w:bCs/>
                <w:color w:val="auto"/>
                <w:sz w:val="24"/>
                <w:szCs w:val="24"/>
                <w:lang w:val="en-US" w:eastAsia="zh-CN"/>
              </w:rPr>
            </w:pPr>
          </w:p>
          <w:p w14:paraId="090DE0C1">
            <w:pPr>
              <w:spacing w:line="360" w:lineRule="auto"/>
              <w:ind w:firstLine="482"/>
              <w:jc w:val="both"/>
              <w:rPr>
                <w:rFonts w:hint="eastAsia" w:ascii="Times New Roman" w:hAnsi="Times New Roman" w:eastAsia="宋体" w:cs="Times New Roman"/>
                <w:bCs/>
                <w:color w:val="auto"/>
                <w:sz w:val="24"/>
                <w:szCs w:val="24"/>
                <w:lang w:val="en-US" w:eastAsia="zh-CN"/>
              </w:rPr>
            </w:pPr>
          </w:p>
          <w:p w14:paraId="6295E8E3">
            <w:pPr>
              <w:spacing w:line="360" w:lineRule="auto"/>
              <w:ind w:firstLine="482"/>
              <w:jc w:val="both"/>
              <w:rPr>
                <w:rFonts w:hint="eastAsia" w:ascii="Times New Roman" w:hAnsi="Times New Roman" w:eastAsia="宋体" w:cs="Times New Roman"/>
                <w:bCs/>
                <w:color w:val="auto"/>
                <w:sz w:val="24"/>
                <w:szCs w:val="24"/>
                <w:lang w:val="en-US" w:eastAsia="zh-CN"/>
              </w:rPr>
            </w:pPr>
          </w:p>
          <w:p w14:paraId="71E9B515">
            <w:pPr>
              <w:spacing w:line="360" w:lineRule="auto"/>
              <w:ind w:firstLine="482"/>
              <w:jc w:val="both"/>
              <w:rPr>
                <w:rFonts w:hint="eastAsia" w:ascii="Times New Roman" w:hAnsi="Times New Roman" w:eastAsia="宋体" w:cs="Times New Roman"/>
                <w:bCs/>
                <w:color w:val="auto"/>
                <w:sz w:val="24"/>
                <w:szCs w:val="24"/>
                <w:lang w:val="en-US" w:eastAsia="zh-CN"/>
              </w:rPr>
            </w:pPr>
          </w:p>
          <w:p w14:paraId="7EC363C6">
            <w:pPr>
              <w:spacing w:line="360" w:lineRule="auto"/>
              <w:ind w:firstLine="482"/>
              <w:jc w:val="both"/>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1）石灰粉生产线</w:t>
            </w:r>
          </w:p>
          <w:p w14:paraId="58521CB8">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lang w:eastAsia="zh-CN"/>
              </w:rPr>
            </w:pPr>
            <w:r>
              <w:rPr>
                <w:b/>
                <w:bCs/>
                <w:sz w:val="28"/>
                <w:szCs w:val="28"/>
              </w:rPr>
              <w:object>
                <v:shape id="_x0000_i1027" o:spt="75" type="#_x0000_t75" style="height:240.25pt;width:290.2pt;" o:ole="t" filled="f" o:preferrelative="t" stroked="f" coordsize="21600,21600">
                  <v:path/>
                  <v:fill on="f" focussize="0,0"/>
                  <v:stroke on="f"/>
                  <v:imagedata r:id="rId32" o:title=""/>
                  <o:lock v:ext="edit" aspectratio="t"/>
                  <w10:wrap type="none"/>
                  <w10:anchorlock/>
                </v:shape>
                <o:OLEObject Type="Embed" ProgID="Visio.Drawing.11" ShapeID="_x0000_i1027" DrawAspect="Content" ObjectID="_1468075727" r:id="rId31">
                  <o:LockedField>false</o:LockedField>
                </o:OLEObject>
              </w:object>
            </w:r>
          </w:p>
          <w:p w14:paraId="36E2F9C7">
            <w:pPr>
              <w:adjustRightInd w:val="0"/>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auto"/>
                <w:sz w:val="21"/>
                <w:szCs w:val="21"/>
                <w:lang w:eastAsia="zh-CN"/>
              </w:rPr>
              <w:t>图2</w:t>
            </w:r>
            <w:r>
              <w:rPr>
                <w:rFonts w:hint="eastAsia" w:ascii="Times New Roman" w:hAnsi="Times New Roman" w:eastAsia="宋体" w:cs="Times New Roman"/>
                <w:b/>
                <w:color w:val="auto"/>
                <w:sz w:val="21"/>
                <w:szCs w:val="21"/>
                <w:lang w:val="en-US" w:eastAsia="zh-CN"/>
              </w:rPr>
              <w:t>.8</w:t>
            </w:r>
            <w:r>
              <w:rPr>
                <w:rFonts w:ascii="Times New Roman" w:hAnsi="Times New Roman" w:eastAsia="宋体" w:cs="Times New Roman"/>
                <w:b/>
                <w:color w:val="auto"/>
                <w:sz w:val="21"/>
                <w:szCs w:val="21"/>
                <w:lang w:eastAsia="zh-CN"/>
              </w:rPr>
              <w:t>-</w:t>
            </w:r>
            <w:r>
              <w:rPr>
                <w:rFonts w:hint="eastAsia" w:ascii="Times New Roman" w:hAnsi="Times New Roman" w:eastAsia="宋体" w:cs="Times New Roman"/>
                <w:b/>
                <w:color w:val="auto"/>
                <w:sz w:val="21"/>
                <w:szCs w:val="21"/>
                <w:lang w:val="en-US" w:eastAsia="zh-CN"/>
              </w:rPr>
              <w:t>2  氧化钙生产线</w:t>
            </w:r>
            <w:r>
              <w:rPr>
                <w:rFonts w:ascii="Times New Roman" w:hAnsi="Times New Roman" w:eastAsia="宋体" w:cs="Times New Roman"/>
                <w:b/>
                <w:color w:val="auto"/>
                <w:sz w:val="21"/>
                <w:szCs w:val="21"/>
                <w:lang w:eastAsia="zh-CN"/>
              </w:rPr>
              <w:t>工艺流程</w:t>
            </w:r>
            <w:r>
              <w:rPr>
                <w:rFonts w:hint="eastAsia" w:ascii="Times New Roman" w:hAnsi="Times New Roman" w:eastAsia="宋体" w:cs="Times New Roman"/>
                <w:b/>
                <w:color w:val="auto"/>
                <w:sz w:val="21"/>
                <w:szCs w:val="21"/>
                <w:lang w:eastAsia="zh-CN"/>
              </w:rPr>
              <w:t>及产排污物节点</w:t>
            </w:r>
            <w:r>
              <w:rPr>
                <w:rFonts w:ascii="Times New Roman" w:hAnsi="Times New Roman" w:eastAsia="宋体" w:cs="Times New Roman"/>
                <w:b/>
                <w:color w:val="auto"/>
                <w:sz w:val="21"/>
                <w:szCs w:val="21"/>
                <w:lang w:eastAsia="zh-CN"/>
              </w:rPr>
              <w:t>图</w:t>
            </w:r>
          </w:p>
          <w:p w14:paraId="3F6C971C">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（2）工艺流程简述：</w:t>
            </w:r>
          </w:p>
          <w:p w14:paraId="24667F1D">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1、原料储存</w:t>
            </w:r>
          </w:p>
          <w:p w14:paraId="6EFE1638">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原料由叉车堆放在全封闭原料区内，然后由铲车送入进料斗内进料。原料氧化钙粒径为＜40mm。</w:t>
            </w:r>
          </w:p>
          <w:p w14:paraId="7C7838F4">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2、磨粉</w:t>
            </w:r>
          </w:p>
          <w:p w14:paraId="063C6CD4">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先用装载机将原料送至进料斗进料，经过输送机送往破碎系统。</w:t>
            </w:r>
          </w:p>
          <w:p w14:paraId="4DCB1FA4">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复合式破碎机工作原理：物料从机器上部垂直落入高速旋转的</w:t>
            </w: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HYPERLINK "https://www.baidu.com/s?word=%E5%8F%B6%E8%BD%AE&amp;sa=re_dqa_generate_ld" \t "https://answer.baidu.com/answer/_blank" </w:instrText>
            </w:r>
            <w:r>
              <w:rPr>
                <w:rFonts w:hint="eastAsia" w:ascii="Times New Roman" w:hAnsi="Times New Roman" w:eastAsia="宋体" w:cs="Times New Roman"/>
                <w:color w:val="auto"/>
                <w:sz w:val="24"/>
                <w:szCs w:val="24"/>
                <w:highlight w:val="none"/>
                <w:lang w:val="en-US" w:eastAsia="zh-CN"/>
              </w:rPr>
              <w:fldChar w:fldCharType="separate"/>
            </w:r>
            <w:r>
              <w:rPr>
                <w:rFonts w:hint="eastAsia" w:ascii="Times New Roman" w:hAnsi="Times New Roman" w:eastAsia="宋体" w:cs="Times New Roman"/>
                <w:color w:val="auto"/>
                <w:sz w:val="24"/>
                <w:szCs w:val="24"/>
                <w:highlight w:val="none"/>
                <w:lang w:val="en-US" w:eastAsia="zh-CN"/>
              </w:rPr>
              <w:t>叶轮</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内，在高速离心力的作用下，物料与另一部分以伞状形式分流在叶轮四周的物料产生高速撞击与粉碎。物料在互相撞击后，会在叶轮和机壳之间形成涡流多次互相撞击、摩擦而粉碎，最终从下部直通排出，出口粒径0-10mm。</w:t>
            </w:r>
          </w:p>
          <w:p w14:paraId="49449C5F">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3、成品外运</w:t>
            </w:r>
          </w:p>
          <w:p w14:paraId="5712B85B">
            <w:pPr>
              <w:pStyle w:val="47"/>
              <w:keepNext w:val="0"/>
              <w:keepLines w:val="0"/>
              <w:pageBreakBefore w:val="0"/>
              <w:widowControl w:val="0"/>
              <w:kinsoku/>
              <w:wordWrap/>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成品全部送入全封闭筒仓后待售，由汽车外运。</w:t>
            </w:r>
          </w:p>
          <w:p w14:paraId="50EE4439">
            <w:pPr>
              <w:spacing w:line="360" w:lineRule="auto"/>
              <w:ind w:firstLine="482"/>
              <w:jc w:val="both"/>
              <w:rPr>
                <w:rFonts w:ascii="Times New Roman" w:hAnsi="Times New Roman" w:eastAsia="宋体" w:cs="Times New Roman"/>
                <w:b/>
                <w:color w:val="auto"/>
                <w:sz w:val="24"/>
                <w:szCs w:val="24"/>
                <w:highlight w:val="none"/>
                <w:lang w:eastAsia="zh-CN"/>
              </w:rPr>
            </w:pPr>
            <w:r>
              <w:rPr>
                <w:rFonts w:hint="eastAsia" w:ascii="Times New Roman" w:hAnsi="Times New Roman" w:eastAsia="宋体" w:cs="Times New Roman"/>
                <w:b/>
                <w:color w:val="auto"/>
                <w:sz w:val="24"/>
                <w:szCs w:val="24"/>
                <w:highlight w:val="none"/>
                <w:lang w:eastAsia="zh-CN"/>
              </w:rPr>
              <w:t>3. 产排污环节</w:t>
            </w:r>
          </w:p>
          <w:p w14:paraId="54DC5097">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（1）施工期</w:t>
            </w:r>
          </w:p>
          <w:p w14:paraId="2E1E1E65">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①噪声</w:t>
            </w:r>
          </w:p>
          <w:p w14:paraId="11C7E527">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主要为机械噪声、施工作业噪声和施工车辆噪声。</w:t>
            </w:r>
          </w:p>
          <w:p w14:paraId="2D458A1F">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eastAsia="zh-CN"/>
              </w:rPr>
              <w:t>固体废物</w:t>
            </w:r>
          </w:p>
          <w:p w14:paraId="1C2543BC">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主要为</w:t>
            </w:r>
            <w:r>
              <w:rPr>
                <w:rFonts w:hint="eastAsia" w:ascii="宋体" w:hAnsi="宋体" w:cs="宋体"/>
                <w:color w:val="auto"/>
                <w:sz w:val="24"/>
                <w:lang w:val="en-US" w:eastAsia="zh-CN"/>
              </w:rPr>
              <w:t>设备安装</w:t>
            </w:r>
            <w:r>
              <w:rPr>
                <w:rFonts w:hint="eastAsia" w:ascii="宋体" w:hAnsi="宋体" w:cs="宋体"/>
                <w:color w:val="auto"/>
                <w:sz w:val="24"/>
                <w:lang w:eastAsia="zh-CN"/>
              </w:rPr>
              <w:t>过程中产生的</w:t>
            </w:r>
            <w:r>
              <w:rPr>
                <w:rFonts w:hint="eastAsia" w:ascii="宋体" w:hAnsi="宋体" w:cs="宋体"/>
                <w:color w:val="auto"/>
                <w:sz w:val="24"/>
                <w:lang w:val="en-US" w:eastAsia="zh-CN"/>
              </w:rPr>
              <w:t>包装垃圾</w:t>
            </w:r>
            <w:r>
              <w:rPr>
                <w:rFonts w:hint="eastAsia" w:ascii="宋体" w:hAnsi="宋体" w:eastAsia="宋体" w:cs="宋体"/>
                <w:color w:val="auto"/>
                <w:sz w:val="24"/>
                <w:lang w:eastAsia="zh-CN"/>
              </w:rPr>
              <w:t>。</w:t>
            </w:r>
          </w:p>
          <w:p w14:paraId="23374B8A">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（2）运营期</w:t>
            </w:r>
          </w:p>
          <w:p w14:paraId="0106DC5F">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①废气</w:t>
            </w:r>
          </w:p>
          <w:p w14:paraId="64CF0FF1">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装卸</w:t>
            </w:r>
            <w:r>
              <w:rPr>
                <w:rFonts w:hint="eastAsia" w:ascii="Times New Roman" w:hAnsi="Times New Roman" w:eastAsia="宋体" w:cs="Times New Roman"/>
                <w:color w:val="auto"/>
                <w:sz w:val="24"/>
                <w:szCs w:val="24"/>
                <w:lang w:eastAsia="zh-CN"/>
              </w:rPr>
              <w:t>扬尘、</w:t>
            </w:r>
            <w:r>
              <w:rPr>
                <w:rFonts w:hint="eastAsia" w:ascii="Times New Roman" w:hAnsi="Times New Roman" w:eastAsia="宋体" w:cs="Times New Roman"/>
                <w:color w:val="auto"/>
                <w:sz w:val="24"/>
                <w:szCs w:val="24"/>
                <w:lang w:val="en-US" w:eastAsia="zh-CN"/>
              </w:rPr>
              <w:t>输送废气、破碎废气、筒仓废气等</w:t>
            </w:r>
            <w:r>
              <w:rPr>
                <w:rFonts w:hint="eastAsia" w:ascii="Times New Roman" w:hAnsi="Times New Roman" w:eastAsia="宋体" w:cs="Times New Roman"/>
                <w:color w:val="auto"/>
                <w:sz w:val="24"/>
                <w:szCs w:val="24"/>
                <w:lang w:eastAsia="zh-CN"/>
              </w:rPr>
              <w:t>。</w:t>
            </w:r>
          </w:p>
          <w:p w14:paraId="7F61E973">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eastAsia="zh-CN"/>
              </w:rPr>
              <w:t>噪声</w:t>
            </w:r>
          </w:p>
          <w:p w14:paraId="25BA0643">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设备运转噪声。</w:t>
            </w:r>
          </w:p>
          <w:p w14:paraId="15B32454">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eastAsia="zh-CN"/>
              </w:rPr>
              <w:t>固体废物</w:t>
            </w:r>
          </w:p>
          <w:p w14:paraId="2A9E61B2">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除尘灰、危险废物（废矿物油及废油桶）</w:t>
            </w:r>
            <w:r>
              <w:rPr>
                <w:rFonts w:hint="eastAsia" w:ascii="Times New Roman" w:hAnsi="Times New Roman" w:eastAsia="宋体" w:cs="Times New Roman"/>
                <w:color w:val="auto"/>
                <w:sz w:val="24"/>
                <w:szCs w:val="24"/>
                <w:lang w:eastAsia="zh-CN"/>
              </w:rPr>
              <w:t>。</w:t>
            </w:r>
          </w:p>
          <w:p w14:paraId="255333BF">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E1A1A5B">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3087869">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1A750386">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6FB1699D">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10BA79B1">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542E5CA6">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2175C831">
            <w:pPr>
              <w:spacing w:line="360" w:lineRule="auto"/>
              <w:jc w:val="both"/>
              <w:rPr>
                <w:rFonts w:hint="eastAsia" w:ascii="Times New Roman" w:hAnsi="Times New Roman" w:eastAsia="宋体" w:cs="Times New Roman"/>
                <w:color w:val="auto"/>
                <w:sz w:val="24"/>
                <w:szCs w:val="24"/>
                <w:lang w:eastAsia="zh-CN"/>
              </w:rPr>
            </w:pPr>
          </w:p>
          <w:p w14:paraId="6E3B68F2">
            <w:pPr>
              <w:spacing w:line="360" w:lineRule="auto"/>
              <w:jc w:val="both"/>
              <w:rPr>
                <w:rFonts w:hint="eastAsia" w:ascii="Times New Roman" w:hAnsi="Times New Roman" w:eastAsia="宋体" w:cs="Times New Roman"/>
                <w:color w:val="auto"/>
                <w:sz w:val="24"/>
                <w:szCs w:val="24"/>
                <w:lang w:eastAsia="zh-CN"/>
              </w:rPr>
            </w:pPr>
          </w:p>
          <w:p w14:paraId="59F30A5E">
            <w:pPr>
              <w:spacing w:line="360" w:lineRule="auto"/>
              <w:jc w:val="both"/>
              <w:rPr>
                <w:rFonts w:hint="eastAsia" w:ascii="Times New Roman" w:hAnsi="Times New Roman" w:eastAsia="宋体" w:cs="Times New Roman"/>
                <w:color w:val="auto"/>
                <w:sz w:val="24"/>
                <w:szCs w:val="24"/>
                <w:lang w:eastAsia="zh-CN"/>
              </w:rPr>
            </w:pPr>
          </w:p>
          <w:p w14:paraId="30B79516">
            <w:pPr>
              <w:spacing w:line="360" w:lineRule="auto"/>
              <w:jc w:val="both"/>
              <w:rPr>
                <w:rFonts w:hint="eastAsia" w:ascii="Times New Roman" w:hAnsi="Times New Roman" w:eastAsia="宋体" w:cs="Times New Roman"/>
                <w:color w:val="auto"/>
                <w:sz w:val="24"/>
                <w:szCs w:val="24"/>
                <w:lang w:eastAsia="zh-CN"/>
              </w:rPr>
            </w:pPr>
          </w:p>
          <w:p w14:paraId="74F23F90">
            <w:pPr>
              <w:spacing w:line="360" w:lineRule="auto"/>
              <w:jc w:val="both"/>
              <w:rPr>
                <w:rFonts w:hint="eastAsia" w:ascii="Times New Roman" w:hAnsi="Times New Roman" w:eastAsia="宋体" w:cs="Times New Roman"/>
                <w:color w:val="auto"/>
                <w:sz w:val="24"/>
                <w:szCs w:val="24"/>
                <w:lang w:eastAsia="zh-CN"/>
              </w:rPr>
            </w:pPr>
          </w:p>
          <w:p w14:paraId="0A055ADE">
            <w:pPr>
              <w:spacing w:line="360" w:lineRule="auto"/>
              <w:jc w:val="both"/>
              <w:rPr>
                <w:rFonts w:hint="eastAsia" w:ascii="Times New Roman" w:hAnsi="Times New Roman" w:eastAsia="宋体" w:cs="Times New Roman"/>
                <w:color w:val="auto"/>
                <w:sz w:val="24"/>
                <w:szCs w:val="24"/>
                <w:lang w:eastAsia="zh-CN"/>
              </w:rPr>
            </w:pPr>
          </w:p>
          <w:p w14:paraId="0F71CD6B">
            <w:pPr>
              <w:spacing w:line="360" w:lineRule="auto"/>
              <w:jc w:val="both"/>
              <w:rPr>
                <w:rFonts w:hint="eastAsia" w:ascii="Times New Roman" w:hAnsi="Times New Roman" w:eastAsia="宋体" w:cs="Times New Roman"/>
                <w:color w:val="auto"/>
                <w:sz w:val="24"/>
                <w:szCs w:val="24"/>
                <w:lang w:eastAsia="zh-CN"/>
              </w:rPr>
            </w:pPr>
          </w:p>
          <w:p w14:paraId="1B5AC161">
            <w:pPr>
              <w:spacing w:line="360" w:lineRule="auto"/>
              <w:jc w:val="both"/>
              <w:rPr>
                <w:rFonts w:hint="eastAsia" w:ascii="Times New Roman" w:hAnsi="Times New Roman" w:eastAsia="宋体" w:cs="Times New Roman"/>
                <w:color w:val="auto"/>
                <w:sz w:val="24"/>
                <w:szCs w:val="24"/>
                <w:lang w:eastAsia="zh-CN"/>
              </w:rPr>
            </w:pPr>
          </w:p>
          <w:p w14:paraId="0903D9B3">
            <w:pPr>
              <w:spacing w:line="360" w:lineRule="auto"/>
              <w:jc w:val="both"/>
              <w:rPr>
                <w:rFonts w:hint="eastAsia" w:ascii="Times New Roman" w:hAnsi="Times New Roman" w:eastAsia="宋体" w:cs="Times New Roman"/>
                <w:color w:val="auto"/>
                <w:sz w:val="24"/>
                <w:szCs w:val="24"/>
                <w:lang w:eastAsia="zh-CN"/>
              </w:rPr>
            </w:pPr>
          </w:p>
          <w:p w14:paraId="210C5281">
            <w:pPr>
              <w:spacing w:line="360" w:lineRule="auto"/>
              <w:jc w:val="both"/>
              <w:rPr>
                <w:rFonts w:hint="eastAsia" w:ascii="Times New Roman" w:hAnsi="Times New Roman" w:eastAsia="宋体" w:cs="Times New Roman"/>
                <w:color w:val="auto"/>
                <w:sz w:val="24"/>
                <w:szCs w:val="24"/>
                <w:lang w:eastAsia="zh-CN"/>
              </w:rPr>
            </w:pPr>
          </w:p>
          <w:p w14:paraId="34B9BBE5">
            <w:pPr>
              <w:spacing w:line="360" w:lineRule="auto"/>
              <w:jc w:val="both"/>
              <w:rPr>
                <w:rFonts w:hint="eastAsia" w:ascii="Times New Roman" w:hAnsi="Times New Roman" w:eastAsia="宋体" w:cs="Times New Roman"/>
                <w:color w:val="auto"/>
                <w:sz w:val="24"/>
                <w:szCs w:val="24"/>
                <w:lang w:eastAsia="zh-CN"/>
              </w:rPr>
            </w:pPr>
          </w:p>
          <w:p w14:paraId="1D78825E">
            <w:pPr>
              <w:spacing w:line="360" w:lineRule="auto"/>
              <w:jc w:val="both"/>
              <w:rPr>
                <w:rFonts w:hint="eastAsia" w:ascii="Times New Roman" w:hAnsi="Times New Roman" w:eastAsia="宋体" w:cs="Times New Roman"/>
                <w:color w:val="auto"/>
                <w:sz w:val="24"/>
                <w:szCs w:val="24"/>
                <w:lang w:eastAsia="zh-CN"/>
              </w:rPr>
            </w:pPr>
          </w:p>
          <w:p w14:paraId="20EAD177">
            <w:pPr>
              <w:spacing w:line="360" w:lineRule="auto"/>
              <w:jc w:val="both"/>
              <w:rPr>
                <w:rFonts w:hint="eastAsia" w:ascii="Times New Roman" w:hAnsi="Times New Roman" w:eastAsia="宋体" w:cs="Times New Roman"/>
                <w:color w:val="auto"/>
                <w:sz w:val="24"/>
                <w:szCs w:val="24"/>
                <w:lang w:eastAsia="zh-CN"/>
              </w:rPr>
            </w:pPr>
          </w:p>
          <w:p w14:paraId="6864497E">
            <w:pPr>
              <w:spacing w:line="360" w:lineRule="auto"/>
              <w:jc w:val="both"/>
              <w:rPr>
                <w:rFonts w:hint="eastAsia" w:ascii="Times New Roman" w:hAnsi="Times New Roman" w:eastAsia="宋体" w:cs="Times New Roman"/>
                <w:color w:val="auto"/>
                <w:sz w:val="24"/>
                <w:szCs w:val="24"/>
                <w:lang w:eastAsia="zh-CN"/>
              </w:rPr>
            </w:pPr>
          </w:p>
          <w:p w14:paraId="034B9DE6">
            <w:pPr>
              <w:spacing w:line="360" w:lineRule="auto"/>
              <w:jc w:val="both"/>
              <w:rPr>
                <w:rFonts w:hint="eastAsia" w:ascii="Times New Roman" w:hAnsi="Times New Roman" w:eastAsia="宋体" w:cs="Times New Roman"/>
                <w:color w:val="auto"/>
                <w:sz w:val="24"/>
                <w:szCs w:val="24"/>
                <w:lang w:eastAsia="zh-CN"/>
              </w:rPr>
            </w:pPr>
          </w:p>
          <w:p w14:paraId="232F1200">
            <w:pPr>
              <w:spacing w:line="360" w:lineRule="auto"/>
              <w:jc w:val="both"/>
              <w:rPr>
                <w:rFonts w:hint="eastAsia" w:ascii="Times New Roman" w:hAnsi="Times New Roman" w:eastAsia="宋体" w:cs="Times New Roman"/>
                <w:color w:val="auto"/>
                <w:sz w:val="24"/>
                <w:szCs w:val="24"/>
                <w:lang w:eastAsia="zh-CN"/>
              </w:rPr>
            </w:pPr>
          </w:p>
          <w:p w14:paraId="2937CA78">
            <w:pPr>
              <w:spacing w:line="360" w:lineRule="auto"/>
              <w:jc w:val="both"/>
              <w:rPr>
                <w:rFonts w:ascii="Times New Roman" w:hAnsi="Times New Roman" w:eastAsia="宋体" w:cs="Times New Roman"/>
                <w:color w:val="auto"/>
                <w:sz w:val="24"/>
                <w:szCs w:val="24"/>
                <w:lang w:eastAsia="zh-CN"/>
              </w:rPr>
            </w:pPr>
          </w:p>
        </w:tc>
      </w:tr>
      <w:tr w14:paraId="4DFF78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95" w:type="dxa"/>
            <w:tcBorders>
              <w:tl2br w:val="nil"/>
              <w:tr2bl w:val="nil"/>
            </w:tcBorders>
            <w:vAlign w:val="center"/>
          </w:tcPr>
          <w:p w14:paraId="704FCF0C">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与项目有关的原有环境污染问题</w:t>
            </w:r>
          </w:p>
        </w:tc>
        <w:tc>
          <w:tcPr>
            <w:tcW w:w="8145" w:type="dxa"/>
            <w:tcBorders>
              <w:tl2br w:val="nil"/>
              <w:tr2bl w:val="nil"/>
            </w:tcBorders>
            <w:vAlign w:val="center"/>
          </w:tcPr>
          <w:p w14:paraId="050974A4">
            <w:pPr>
              <w:spacing w:line="360" w:lineRule="auto"/>
              <w:ind w:firstLine="482"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2.9 现有工程概况</w:t>
            </w:r>
          </w:p>
          <w:p w14:paraId="7E5DD850">
            <w:pPr>
              <w:spacing w:line="360" w:lineRule="auto"/>
              <w:ind w:firstLine="480" w:firstLineChars="200"/>
              <w:jc w:val="both"/>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val="en-US" w:eastAsia="zh-CN"/>
              </w:rPr>
              <w:t>1.现有</w:t>
            </w:r>
            <w:r>
              <w:rPr>
                <w:rFonts w:hint="eastAsia" w:ascii="Times New Roman" w:hAnsi="Times New Roman" w:eastAsia="宋体" w:cs="Times New Roman"/>
                <w:b w:val="0"/>
                <w:bCs w:val="0"/>
                <w:color w:val="auto"/>
                <w:sz w:val="24"/>
                <w:szCs w:val="24"/>
                <w:lang w:eastAsia="zh-CN"/>
              </w:rPr>
              <w:t>项目环保手续履行情况</w:t>
            </w:r>
          </w:p>
          <w:p w14:paraId="6D8646B3">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长治市</w:t>
            </w:r>
            <w:r>
              <w:rPr>
                <w:rFonts w:hint="eastAsia" w:ascii="Times New Roman" w:hAnsi="Times New Roman" w:eastAsia="宋体" w:cs="Times New Roman"/>
                <w:color w:val="auto"/>
                <w:sz w:val="24"/>
                <w:szCs w:val="24"/>
                <w:lang w:eastAsia="zh-CN"/>
              </w:rPr>
              <w:t>瑞兴冶金熔剂有限公司前身为“潞城市三山冶金熔剂有限公司”，成立于2000年，原厂址位于潞城市化肥厂院内，2005年由于建设规划需要，将厂址搬迁至潞城</w:t>
            </w:r>
            <w:r>
              <w:rPr>
                <w:rFonts w:hint="eastAsia" w:ascii="Times New Roman" w:hAnsi="Times New Roman" w:eastAsia="宋体" w:cs="Times New Roman"/>
                <w:color w:val="auto"/>
                <w:sz w:val="24"/>
                <w:szCs w:val="24"/>
                <w:lang w:val="en-US" w:eastAsia="zh-CN"/>
              </w:rPr>
              <w:t>区史回镇</w:t>
            </w:r>
            <w:r>
              <w:rPr>
                <w:rFonts w:hint="eastAsia" w:ascii="Times New Roman" w:hAnsi="Times New Roman" w:eastAsia="宋体" w:cs="Times New Roman"/>
                <w:color w:val="auto"/>
                <w:sz w:val="24"/>
                <w:szCs w:val="24"/>
                <w:lang w:eastAsia="zh-CN"/>
              </w:rPr>
              <w:t>李庄村东工业园区内。当时因长钢集团的发展需要，与长钢集团合作成立了“潞城市瑞兴冶金熔剂有限公司”，冶金石灰产量由原来的250t/d提升到1000t/d。原有的三座一百立方米普立窑、五座一百二十立方米的普立窑，质量不稳定、能耗高、污染严重，需要淘汰。2017年公司对原有的石灰生产线进行技改，建设年产15万吨活性石灰技改项目。原有的普立窑全部已经拆除。</w:t>
            </w:r>
          </w:p>
          <w:p w14:paraId="54199780">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2017年7月，北京万澈环境科学与工程技术有限责任公司编制了《潞城市瑞兴冶金熔剂有限公司年产15万吨活性石灰技改项目环境影响报告表》；2017年7月31日，潞城市环境保护局以潞环函[2017]71号文件对项目进行了批复。项目实际总投资1400万元，其中环保投资155万元，占总投资的11%。年产15万吨活性石灰技改项目于2017年开始建设， 2018年2月建成，2018年4月</w:t>
            </w:r>
            <w:r>
              <w:rPr>
                <w:rFonts w:hint="eastAsia" w:ascii="Times New Roman" w:hAnsi="Times New Roman" w:eastAsia="宋体" w:cs="Times New Roman"/>
                <w:color w:val="auto"/>
                <w:sz w:val="24"/>
                <w:szCs w:val="24"/>
                <w:lang w:val="en-US" w:eastAsia="zh-CN"/>
              </w:rPr>
              <w:t>由长治市环境监测站编制了《潞城市瑞兴冶金熔剂有限公司                “三同时”竣工环境保护验收报告》并通过验收</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2019年1月25日首次</w:t>
            </w:r>
            <w:r>
              <w:rPr>
                <w:rFonts w:hint="eastAsia" w:ascii="Times New Roman" w:hAnsi="Times New Roman" w:eastAsia="宋体" w:cs="Times New Roman"/>
                <w:color w:val="auto"/>
                <w:sz w:val="24"/>
                <w:szCs w:val="24"/>
                <w:lang w:eastAsia="zh-CN"/>
              </w:rPr>
              <w:t>核发排污许可证。</w:t>
            </w:r>
          </w:p>
          <w:p w14:paraId="626DA89B">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目前，企业自2018年至今</w:t>
            </w:r>
            <w:r>
              <w:rPr>
                <w:rFonts w:hint="eastAsia" w:ascii="Times New Roman" w:hAnsi="Times New Roman" w:eastAsia="宋体" w:cs="Times New Roman"/>
                <w:color w:val="auto"/>
                <w:sz w:val="24"/>
                <w:szCs w:val="24"/>
                <w:lang w:eastAsia="zh-CN"/>
              </w:rPr>
              <w:t>无环境污染投诉、违法或处罚记录。</w:t>
            </w:r>
          </w:p>
          <w:p w14:paraId="329FC494">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b w:val="0"/>
                <w:bCs w:val="0"/>
                <w:color w:val="auto"/>
                <w:sz w:val="24"/>
                <w:szCs w:val="24"/>
                <w:lang w:val="en-US" w:eastAsia="zh-CN"/>
              </w:rPr>
              <w:t>原有</w:t>
            </w:r>
            <w:r>
              <w:rPr>
                <w:rFonts w:hint="eastAsia" w:ascii="Times New Roman" w:hAnsi="Times New Roman" w:eastAsia="宋体" w:cs="Times New Roman"/>
                <w:color w:val="auto"/>
                <w:sz w:val="24"/>
                <w:szCs w:val="24"/>
                <w:lang w:eastAsia="zh-CN"/>
              </w:rPr>
              <w:t>项目工艺流程</w:t>
            </w:r>
          </w:p>
          <w:p w14:paraId="2736BF00">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1）工艺流程</w:t>
            </w:r>
          </w:p>
          <w:p w14:paraId="321B6DB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4"/>
                <w:szCs w:val="24"/>
                <w:lang w:val="en-US" w:eastAsia="zh-CN"/>
              </w:rPr>
            </w:pPr>
            <w:r>
              <w:drawing>
                <wp:inline distT="0" distB="0" distL="114300" distR="114300">
                  <wp:extent cx="2668905" cy="2529840"/>
                  <wp:effectExtent l="0" t="0" r="17145" b="381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33"/>
                          <a:stretch>
                            <a:fillRect/>
                          </a:stretch>
                        </pic:blipFill>
                        <pic:spPr>
                          <a:xfrm>
                            <a:off x="0" y="0"/>
                            <a:ext cx="2668905" cy="2529840"/>
                          </a:xfrm>
                          <a:prstGeom prst="rect">
                            <a:avLst/>
                          </a:prstGeom>
                          <a:noFill/>
                          <a:ln>
                            <a:noFill/>
                          </a:ln>
                        </pic:spPr>
                      </pic:pic>
                    </a:graphicData>
                  </a:graphic>
                </wp:inline>
              </w:drawing>
            </w:r>
          </w:p>
          <w:p w14:paraId="238101E8">
            <w:pPr>
              <w:jc w:val="center"/>
              <w:rPr>
                <w:rFonts w:hint="default" w:ascii="Times New Roman" w:hAnsi="Times New Roman" w:cs="Times New Roman"/>
                <w:b/>
                <w:color w:val="auto"/>
                <w:sz w:val="21"/>
                <w:szCs w:val="21"/>
              </w:rPr>
            </w:pPr>
            <w:r>
              <w:rPr>
                <w:rFonts w:hint="default" w:ascii="Times New Roman" w:hAnsi="Times New Roman" w:cs="Times New Roman"/>
                <w:b/>
                <w:bCs/>
                <w:color w:val="auto"/>
                <w:sz w:val="21"/>
                <w:szCs w:val="21"/>
              </w:rPr>
              <w:t>图</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.9-1</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val="en-US" w:eastAsia="zh-CN"/>
              </w:rPr>
              <w:t>现有</w:t>
            </w:r>
            <w:r>
              <w:rPr>
                <w:rFonts w:hint="default" w:ascii="Times New Roman" w:hAnsi="Times New Roman" w:eastAsia="宋体" w:cs="Times New Roman"/>
                <w:b/>
                <w:bCs/>
                <w:color w:val="auto"/>
                <w:sz w:val="21"/>
                <w:szCs w:val="21"/>
                <w:lang w:val="en-US" w:eastAsia="zh-CN"/>
              </w:rPr>
              <w:t>工程</w:t>
            </w:r>
            <w:r>
              <w:rPr>
                <w:rFonts w:hint="default" w:ascii="Times New Roman" w:hAnsi="Times New Roman" w:cs="Times New Roman"/>
                <w:b/>
                <w:bCs/>
                <w:color w:val="auto"/>
                <w:sz w:val="21"/>
                <w:szCs w:val="21"/>
              </w:rPr>
              <w:t>工艺流程图</w:t>
            </w:r>
          </w:p>
          <w:p w14:paraId="2F8CC8E6">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2）生产设备</w:t>
            </w:r>
          </w:p>
          <w:p w14:paraId="1006AEFB">
            <w:pPr>
              <w:adjustRightInd w:val="0"/>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auto"/>
                <w:sz w:val="21"/>
                <w:szCs w:val="21"/>
                <w:lang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.9-1</w:t>
            </w:r>
            <w:r>
              <w:rPr>
                <w:rFonts w:ascii="Times New Roman" w:hAnsi="Times New Roman" w:eastAsia="宋体" w:cs="Times New Roman"/>
                <w:b/>
                <w:color w:val="auto"/>
                <w:sz w:val="21"/>
                <w:szCs w:val="21"/>
                <w:lang w:eastAsia="zh-CN"/>
              </w:rPr>
              <w:t xml:space="preserve">  </w:t>
            </w:r>
            <w:r>
              <w:rPr>
                <w:rFonts w:hint="default" w:ascii="Times New Roman" w:hAnsi="Times New Roman" w:cs="Times New Roman"/>
                <w:b/>
                <w:bCs/>
                <w:color w:val="auto"/>
                <w:sz w:val="21"/>
                <w:szCs w:val="21"/>
                <w:lang w:val="en-US" w:eastAsia="zh-CN"/>
              </w:rPr>
              <w:t>现有</w:t>
            </w:r>
            <w:r>
              <w:rPr>
                <w:rFonts w:hint="eastAsia" w:ascii="Times New Roman" w:hAnsi="Times New Roman" w:eastAsia="宋体" w:cs="Times New Roman"/>
                <w:b/>
                <w:color w:val="auto"/>
                <w:sz w:val="21"/>
                <w:szCs w:val="21"/>
                <w:lang w:val="en-US" w:eastAsia="zh-CN"/>
              </w:rPr>
              <w:t>工程</w:t>
            </w:r>
            <w:r>
              <w:rPr>
                <w:rFonts w:ascii="Times New Roman" w:hAnsi="Times New Roman" w:eastAsia="宋体" w:cs="Times New Roman"/>
                <w:b/>
                <w:color w:val="auto"/>
                <w:sz w:val="21"/>
                <w:szCs w:val="21"/>
                <w:lang w:eastAsia="zh-CN"/>
              </w:rPr>
              <w:t>主要设备一览表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919"/>
              <w:gridCol w:w="2246"/>
              <w:gridCol w:w="2066"/>
              <w:gridCol w:w="916"/>
              <w:gridCol w:w="999"/>
            </w:tblGrid>
            <w:tr w14:paraId="45F6E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noWrap w:val="0"/>
                  <w:vAlign w:val="center"/>
                </w:tcPr>
                <w:p w14:paraId="512F3B1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名称</w:t>
                  </w:r>
                </w:p>
              </w:tc>
              <w:tc>
                <w:tcPr>
                  <w:tcW w:w="970" w:type="dxa"/>
                  <w:noWrap w:val="0"/>
                  <w:vAlign w:val="center"/>
                </w:tcPr>
                <w:p w14:paraId="66FC08B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序号</w:t>
                  </w:r>
                </w:p>
              </w:tc>
              <w:tc>
                <w:tcPr>
                  <w:tcW w:w="2393" w:type="dxa"/>
                  <w:noWrap w:val="0"/>
                  <w:vAlign w:val="center"/>
                </w:tcPr>
                <w:p w14:paraId="0624FCF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设备名称</w:t>
                  </w:r>
                </w:p>
              </w:tc>
              <w:tc>
                <w:tcPr>
                  <w:tcW w:w="2200" w:type="dxa"/>
                  <w:noWrap w:val="0"/>
                  <w:vAlign w:val="center"/>
                </w:tcPr>
                <w:p w14:paraId="7AB4CD0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型号</w:t>
                  </w:r>
                </w:p>
              </w:tc>
              <w:tc>
                <w:tcPr>
                  <w:tcW w:w="966" w:type="dxa"/>
                  <w:noWrap w:val="0"/>
                  <w:vAlign w:val="center"/>
                </w:tcPr>
                <w:p w14:paraId="6DCE2F9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单位</w:t>
                  </w:r>
                </w:p>
              </w:tc>
              <w:tc>
                <w:tcPr>
                  <w:tcW w:w="1056" w:type="dxa"/>
                  <w:noWrap w:val="0"/>
                  <w:vAlign w:val="center"/>
                </w:tcPr>
                <w:p w14:paraId="6FED1AA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数量</w:t>
                  </w:r>
                </w:p>
              </w:tc>
            </w:tr>
            <w:tr w14:paraId="3BB4B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restart"/>
                  <w:shd w:val="clear" w:color="auto" w:fill="auto"/>
                  <w:noWrap w:val="0"/>
                  <w:vAlign w:val="center"/>
                </w:tcPr>
                <w:p w14:paraId="06723B5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原料系统</w:t>
                  </w:r>
                </w:p>
              </w:tc>
              <w:tc>
                <w:tcPr>
                  <w:tcW w:w="970" w:type="dxa"/>
                  <w:noWrap w:val="0"/>
                  <w:vAlign w:val="center"/>
                </w:tcPr>
                <w:p w14:paraId="23D0D87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w:t>
                  </w:r>
                </w:p>
              </w:tc>
              <w:tc>
                <w:tcPr>
                  <w:tcW w:w="2393" w:type="dxa"/>
                  <w:noWrap w:val="0"/>
                  <w:vAlign w:val="center"/>
                </w:tcPr>
                <w:p w14:paraId="1627C98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大倾角膜皮带</w:t>
                  </w:r>
                </w:p>
              </w:tc>
              <w:tc>
                <w:tcPr>
                  <w:tcW w:w="2200" w:type="dxa"/>
                  <w:noWrap w:val="0"/>
                  <w:vAlign w:val="center"/>
                </w:tcPr>
                <w:p w14:paraId="3FB4C27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650×15,75kwh</w:t>
                  </w:r>
                </w:p>
              </w:tc>
              <w:tc>
                <w:tcPr>
                  <w:tcW w:w="966" w:type="dxa"/>
                  <w:noWrap w:val="0"/>
                  <w:vAlign w:val="center"/>
                </w:tcPr>
                <w:p w14:paraId="2DE5780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0371079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w:t>
                  </w:r>
                </w:p>
              </w:tc>
            </w:tr>
            <w:tr w14:paraId="1E0D4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38CC4C26">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5B6EE78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c>
                <w:tcPr>
                  <w:tcW w:w="2393" w:type="dxa"/>
                  <w:noWrap w:val="0"/>
                  <w:vAlign w:val="center"/>
                </w:tcPr>
                <w:p w14:paraId="4FCC188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振动筛</w:t>
                  </w:r>
                </w:p>
              </w:tc>
              <w:tc>
                <w:tcPr>
                  <w:tcW w:w="2200" w:type="dxa"/>
                  <w:noWrap w:val="0"/>
                  <w:vAlign w:val="center"/>
                </w:tcPr>
                <w:p w14:paraId="5EA80A5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100t/h</w:t>
                  </w:r>
                  <w:r>
                    <w:rPr>
                      <w:rFonts w:hint="eastAsia" w:eastAsia="宋体" w:cs="Times New Roman"/>
                      <w:color w:val="auto"/>
                      <w:kern w:val="2"/>
                      <w:sz w:val="21"/>
                      <w:szCs w:val="21"/>
                      <w:lang w:val="en-US" w:eastAsia="zh-CN"/>
                    </w:rPr>
                    <w:t>，</w:t>
                  </w:r>
                  <w:r>
                    <w:rPr>
                      <w:rFonts w:hint="eastAsia" w:ascii="Times New Roman" w:hAnsi="Times New Roman" w:eastAsia="宋体" w:cs="Times New Roman"/>
                      <w:color w:val="auto"/>
                      <w:kern w:val="2"/>
                      <w:sz w:val="21"/>
                      <w:szCs w:val="21"/>
                      <w:lang w:val="en-US" w:eastAsia="zh-CN"/>
                    </w:rPr>
                    <w:t>15×2</w:t>
                  </w:r>
                </w:p>
              </w:tc>
              <w:tc>
                <w:tcPr>
                  <w:tcW w:w="966" w:type="dxa"/>
                  <w:noWrap w:val="0"/>
                  <w:vAlign w:val="center"/>
                </w:tcPr>
                <w:p w14:paraId="0DFB9B6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6DB14D7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w:t>
                  </w:r>
                </w:p>
              </w:tc>
            </w:tr>
            <w:tr w14:paraId="42DC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405200E0">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5054F13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3</w:t>
                  </w:r>
                </w:p>
              </w:tc>
              <w:tc>
                <w:tcPr>
                  <w:tcW w:w="2393" w:type="dxa"/>
                  <w:noWrap w:val="0"/>
                  <w:vAlign w:val="center"/>
                </w:tcPr>
                <w:p w14:paraId="68F278F1">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皮带机</w:t>
                  </w:r>
                </w:p>
              </w:tc>
              <w:tc>
                <w:tcPr>
                  <w:tcW w:w="2200" w:type="dxa"/>
                  <w:noWrap w:val="0"/>
                  <w:vAlign w:val="center"/>
                </w:tcPr>
                <w:p w14:paraId="4ADB187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M650×8</w:t>
                  </w:r>
                  <w:r>
                    <w:rPr>
                      <w:rFonts w:hint="eastAsia" w:eastAsia="宋体" w:cs="Times New Roman"/>
                      <w:color w:val="auto"/>
                      <w:kern w:val="2"/>
                      <w:sz w:val="21"/>
                      <w:szCs w:val="21"/>
                      <w:lang w:val="en-US" w:eastAsia="zh-CN"/>
                    </w:rPr>
                    <w:t>.</w:t>
                  </w:r>
                  <w:r>
                    <w:rPr>
                      <w:rFonts w:hint="eastAsia" w:ascii="Times New Roman" w:hAnsi="Times New Roman" w:eastAsia="宋体" w:cs="Times New Roman"/>
                      <w:color w:val="auto"/>
                      <w:kern w:val="2"/>
                      <w:sz w:val="21"/>
                      <w:szCs w:val="21"/>
                      <w:lang w:val="en-US" w:eastAsia="zh-CN"/>
                    </w:rPr>
                    <w:t>5kwh</w:t>
                  </w:r>
                </w:p>
              </w:tc>
              <w:tc>
                <w:tcPr>
                  <w:tcW w:w="966" w:type="dxa"/>
                  <w:noWrap w:val="0"/>
                  <w:vAlign w:val="center"/>
                </w:tcPr>
                <w:p w14:paraId="630F741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1290668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3406C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63BF61B0">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7220365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w:t>
                  </w:r>
                </w:p>
              </w:tc>
              <w:tc>
                <w:tcPr>
                  <w:tcW w:w="2393" w:type="dxa"/>
                  <w:noWrap w:val="0"/>
                  <w:vAlign w:val="center"/>
                </w:tcPr>
                <w:p w14:paraId="42697A4C">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提升卷扬机</w:t>
                  </w:r>
                </w:p>
              </w:tc>
              <w:tc>
                <w:tcPr>
                  <w:tcW w:w="2200" w:type="dxa"/>
                  <w:noWrap w:val="0"/>
                  <w:vAlign w:val="center"/>
                </w:tcPr>
                <w:p w14:paraId="00E296F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JФ800,45kwh</w:t>
                  </w:r>
                </w:p>
              </w:tc>
              <w:tc>
                <w:tcPr>
                  <w:tcW w:w="966" w:type="dxa"/>
                  <w:noWrap w:val="0"/>
                  <w:vAlign w:val="center"/>
                </w:tcPr>
                <w:p w14:paraId="673C0DF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0ECDD92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1DEB9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restart"/>
                  <w:shd w:val="clear" w:color="auto" w:fill="auto"/>
                  <w:noWrap w:val="0"/>
                  <w:vAlign w:val="center"/>
                </w:tcPr>
                <w:p w14:paraId="16E1F38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石灰烧成系统</w:t>
                  </w:r>
                </w:p>
              </w:tc>
              <w:tc>
                <w:tcPr>
                  <w:tcW w:w="970" w:type="dxa"/>
                  <w:noWrap w:val="0"/>
                  <w:vAlign w:val="center"/>
                </w:tcPr>
                <w:p w14:paraId="4142D7A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w:t>
                  </w:r>
                </w:p>
              </w:tc>
              <w:tc>
                <w:tcPr>
                  <w:tcW w:w="2393" w:type="dxa"/>
                  <w:noWrap w:val="0"/>
                  <w:vAlign w:val="center"/>
                </w:tcPr>
                <w:p w14:paraId="48F0D44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竖窑</w:t>
                  </w:r>
                </w:p>
              </w:tc>
              <w:tc>
                <w:tcPr>
                  <w:tcW w:w="2200" w:type="dxa"/>
                  <w:noWrap w:val="0"/>
                  <w:vAlign w:val="center"/>
                </w:tcPr>
                <w:p w14:paraId="7378BC2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Φ5.4×40m</w:t>
                  </w:r>
                </w:p>
              </w:tc>
              <w:tc>
                <w:tcPr>
                  <w:tcW w:w="966" w:type="dxa"/>
                  <w:noWrap w:val="0"/>
                  <w:vAlign w:val="center"/>
                </w:tcPr>
                <w:p w14:paraId="0D0A5C9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6945885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6EE31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66A8A28B">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736AF31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6</w:t>
                  </w:r>
                </w:p>
              </w:tc>
              <w:tc>
                <w:tcPr>
                  <w:tcW w:w="2393" w:type="dxa"/>
                  <w:noWrap w:val="0"/>
                  <w:vAlign w:val="center"/>
                </w:tcPr>
                <w:p w14:paraId="5E8EF63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布料机</w:t>
                  </w:r>
                </w:p>
              </w:tc>
              <w:tc>
                <w:tcPr>
                  <w:tcW w:w="2200" w:type="dxa"/>
                  <w:noWrap w:val="0"/>
                  <w:vAlign w:val="center"/>
                </w:tcPr>
                <w:p w14:paraId="59306EB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3kwh</w:t>
                  </w:r>
                </w:p>
              </w:tc>
              <w:tc>
                <w:tcPr>
                  <w:tcW w:w="966" w:type="dxa"/>
                  <w:noWrap w:val="0"/>
                  <w:vAlign w:val="center"/>
                </w:tcPr>
                <w:p w14:paraId="585223F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044A05FD">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2032A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41C93901">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20EB38B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7</w:t>
                  </w:r>
                </w:p>
              </w:tc>
              <w:tc>
                <w:tcPr>
                  <w:tcW w:w="2393" w:type="dxa"/>
                  <w:noWrap w:val="0"/>
                  <w:vAlign w:val="center"/>
                </w:tcPr>
                <w:p w14:paraId="1CBDCB8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螺旋出灰机</w:t>
                  </w:r>
                </w:p>
              </w:tc>
              <w:tc>
                <w:tcPr>
                  <w:tcW w:w="2200" w:type="dxa"/>
                  <w:noWrap w:val="0"/>
                  <w:vAlign w:val="center"/>
                </w:tcPr>
                <w:p w14:paraId="176062E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30kwh</w:t>
                  </w:r>
                </w:p>
              </w:tc>
              <w:tc>
                <w:tcPr>
                  <w:tcW w:w="966" w:type="dxa"/>
                  <w:noWrap w:val="0"/>
                  <w:vAlign w:val="center"/>
                </w:tcPr>
                <w:p w14:paraId="4BC789B6">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52E7A35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12B7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4DE461B4">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5FE08AB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8</w:t>
                  </w:r>
                </w:p>
              </w:tc>
              <w:tc>
                <w:tcPr>
                  <w:tcW w:w="2393" w:type="dxa"/>
                  <w:noWrap w:val="0"/>
                  <w:vAlign w:val="center"/>
                </w:tcPr>
                <w:p w14:paraId="7174F73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出灰皮带</w:t>
                  </w:r>
                </w:p>
              </w:tc>
              <w:tc>
                <w:tcPr>
                  <w:tcW w:w="2200" w:type="dxa"/>
                  <w:noWrap w:val="0"/>
                  <w:vAlign w:val="center"/>
                </w:tcPr>
                <w:p w14:paraId="1B08733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M650×38,13kwh</w:t>
                  </w:r>
                </w:p>
              </w:tc>
              <w:tc>
                <w:tcPr>
                  <w:tcW w:w="966" w:type="dxa"/>
                  <w:noWrap w:val="0"/>
                  <w:vAlign w:val="center"/>
                </w:tcPr>
                <w:p w14:paraId="1A1E3376">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0956BD0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w:t>
                  </w:r>
                </w:p>
              </w:tc>
            </w:tr>
            <w:tr w14:paraId="131A9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7104440F">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4CCFC47C">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9</w:t>
                  </w:r>
                </w:p>
              </w:tc>
              <w:tc>
                <w:tcPr>
                  <w:tcW w:w="2393" w:type="dxa"/>
                  <w:noWrap w:val="0"/>
                  <w:vAlign w:val="center"/>
                </w:tcPr>
                <w:p w14:paraId="3942C42C">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鼓风机</w:t>
                  </w:r>
                </w:p>
              </w:tc>
              <w:tc>
                <w:tcPr>
                  <w:tcW w:w="2200" w:type="dxa"/>
                  <w:noWrap w:val="0"/>
                  <w:vAlign w:val="center"/>
                </w:tcPr>
                <w:p w14:paraId="6963D2C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TLG-1N,125D,132kwh</w:t>
                  </w:r>
                </w:p>
              </w:tc>
              <w:tc>
                <w:tcPr>
                  <w:tcW w:w="966" w:type="dxa"/>
                  <w:noWrap w:val="0"/>
                  <w:vAlign w:val="center"/>
                </w:tcPr>
                <w:p w14:paraId="798F0B84">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3A7C6C4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3B40C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restart"/>
                  <w:shd w:val="clear" w:color="auto" w:fill="auto"/>
                  <w:noWrap w:val="0"/>
                  <w:vAlign w:val="center"/>
                </w:tcPr>
                <w:p w14:paraId="2BE53C6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窑尾废气处理系统</w:t>
                  </w:r>
                </w:p>
              </w:tc>
              <w:tc>
                <w:tcPr>
                  <w:tcW w:w="970" w:type="dxa"/>
                  <w:noWrap w:val="0"/>
                  <w:vAlign w:val="center"/>
                </w:tcPr>
                <w:p w14:paraId="173F0E7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10</w:t>
                  </w:r>
                </w:p>
              </w:tc>
              <w:tc>
                <w:tcPr>
                  <w:tcW w:w="2393" w:type="dxa"/>
                  <w:noWrap w:val="0"/>
                  <w:vAlign w:val="center"/>
                </w:tcPr>
                <w:p w14:paraId="2EDF996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布袋除尘器</w:t>
                  </w:r>
                </w:p>
              </w:tc>
              <w:tc>
                <w:tcPr>
                  <w:tcW w:w="2200" w:type="dxa"/>
                  <w:noWrap w:val="0"/>
                  <w:vAlign w:val="center"/>
                </w:tcPr>
                <w:p w14:paraId="7E470DEA">
                  <w:pPr>
                    <w:pStyle w:val="60"/>
                    <w:widowControl w:val="0"/>
                    <w:rPr>
                      <w:rFonts w:hint="eastAsia" w:ascii="Times New Roman" w:hAnsi="Times New Roman" w:eastAsia="宋体" w:cs="Times New Roman"/>
                      <w:color w:val="auto"/>
                      <w:kern w:val="2"/>
                      <w:sz w:val="21"/>
                      <w:szCs w:val="21"/>
                      <w:lang w:val="en-US" w:eastAsia="zh-CN"/>
                    </w:rPr>
                  </w:pPr>
                </w:p>
              </w:tc>
              <w:tc>
                <w:tcPr>
                  <w:tcW w:w="966" w:type="dxa"/>
                  <w:noWrap w:val="0"/>
                  <w:vAlign w:val="center"/>
                </w:tcPr>
                <w:p w14:paraId="26E5AEC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6559DD6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6746D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1F343FA4">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0F0542D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11</w:t>
                  </w:r>
                </w:p>
              </w:tc>
              <w:tc>
                <w:tcPr>
                  <w:tcW w:w="2393" w:type="dxa"/>
                  <w:noWrap w:val="0"/>
                  <w:vAlign w:val="center"/>
                </w:tcPr>
                <w:p w14:paraId="44A3E19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高温引风机</w:t>
                  </w:r>
                </w:p>
              </w:tc>
              <w:tc>
                <w:tcPr>
                  <w:tcW w:w="2200" w:type="dxa"/>
                  <w:noWrap w:val="0"/>
                  <w:vAlign w:val="center"/>
                </w:tcPr>
                <w:p w14:paraId="57516FB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Y4-73-12N 12D,90kwh</w:t>
                  </w:r>
                </w:p>
              </w:tc>
              <w:tc>
                <w:tcPr>
                  <w:tcW w:w="966" w:type="dxa"/>
                  <w:noWrap w:val="0"/>
                  <w:vAlign w:val="center"/>
                </w:tcPr>
                <w:p w14:paraId="7DDA848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6E8FC52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2CC0E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0F104E3A">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04D776C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12</w:t>
                  </w:r>
                </w:p>
              </w:tc>
              <w:tc>
                <w:tcPr>
                  <w:tcW w:w="2393" w:type="dxa"/>
                  <w:noWrap w:val="0"/>
                  <w:vAlign w:val="center"/>
                </w:tcPr>
                <w:p w14:paraId="13BF6AF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压缩机</w:t>
                  </w:r>
                </w:p>
              </w:tc>
              <w:tc>
                <w:tcPr>
                  <w:tcW w:w="2200" w:type="dxa"/>
                  <w:noWrap w:val="0"/>
                  <w:vAlign w:val="center"/>
                </w:tcPr>
                <w:p w14:paraId="5038896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螺杆式5m</w:t>
                  </w:r>
                  <w:r>
                    <w:rPr>
                      <w:rFonts w:hint="eastAsia" w:ascii="Times New Roman" w:hAnsi="Times New Roman" w:eastAsia="宋体" w:cs="Times New Roman"/>
                      <w:color w:val="auto"/>
                      <w:kern w:val="2"/>
                      <w:sz w:val="21"/>
                      <w:szCs w:val="21"/>
                      <w:vertAlign w:val="superscript"/>
                      <w:lang w:val="en-US" w:eastAsia="zh-CN"/>
                    </w:rPr>
                    <w:t>3</w:t>
                  </w:r>
                  <w:r>
                    <w:rPr>
                      <w:rFonts w:hint="eastAsia" w:ascii="Times New Roman" w:hAnsi="Times New Roman" w:eastAsia="宋体" w:cs="Times New Roman"/>
                      <w:color w:val="auto"/>
                      <w:kern w:val="2"/>
                      <w:sz w:val="21"/>
                      <w:szCs w:val="21"/>
                      <w:lang w:val="en-US" w:eastAsia="zh-CN"/>
                    </w:rPr>
                    <w:t>/min,30kwh</w:t>
                  </w:r>
                </w:p>
              </w:tc>
              <w:tc>
                <w:tcPr>
                  <w:tcW w:w="966" w:type="dxa"/>
                  <w:noWrap w:val="0"/>
                  <w:vAlign w:val="center"/>
                </w:tcPr>
                <w:p w14:paraId="1093B6EA">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518E67E1">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w:t>
                  </w:r>
                </w:p>
              </w:tc>
            </w:tr>
            <w:tr w14:paraId="48F11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57882968">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649155A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13</w:t>
                  </w:r>
                </w:p>
              </w:tc>
              <w:tc>
                <w:tcPr>
                  <w:tcW w:w="2393" w:type="dxa"/>
                  <w:noWrap w:val="0"/>
                  <w:vAlign w:val="center"/>
                </w:tcPr>
                <w:p w14:paraId="296D8FE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脱硫塔</w:t>
                  </w:r>
                </w:p>
              </w:tc>
              <w:tc>
                <w:tcPr>
                  <w:tcW w:w="2200" w:type="dxa"/>
                  <w:noWrap w:val="0"/>
                  <w:vAlign w:val="center"/>
                </w:tcPr>
                <w:p w14:paraId="2A35CD4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Ф2.3×15,75kwh</w:t>
                  </w:r>
                </w:p>
              </w:tc>
              <w:tc>
                <w:tcPr>
                  <w:tcW w:w="966" w:type="dxa"/>
                  <w:noWrap w:val="0"/>
                  <w:vAlign w:val="center"/>
                </w:tcPr>
                <w:p w14:paraId="6A235A3B">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6341C77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w:t>
                  </w:r>
                </w:p>
              </w:tc>
            </w:tr>
            <w:tr w14:paraId="3E900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37" w:type="dxa"/>
                  <w:vMerge w:val="restart"/>
                  <w:shd w:val="clear" w:color="auto" w:fill="auto"/>
                  <w:noWrap w:val="0"/>
                  <w:vAlign w:val="center"/>
                </w:tcPr>
                <w:p w14:paraId="41BF578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成品筛分与输送</w:t>
                  </w:r>
                </w:p>
              </w:tc>
              <w:tc>
                <w:tcPr>
                  <w:tcW w:w="970" w:type="dxa"/>
                  <w:noWrap w:val="0"/>
                  <w:vAlign w:val="center"/>
                </w:tcPr>
                <w:p w14:paraId="0BCC951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14</w:t>
                  </w:r>
                </w:p>
              </w:tc>
              <w:tc>
                <w:tcPr>
                  <w:tcW w:w="2393" w:type="dxa"/>
                  <w:noWrap w:val="0"/>
                  <w:vAlign w:val="center"/>
                </w:tcPr>
                <w:p w14:paraId="3F686BC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振动筛</w:t>
                  </w:r>
                </w:p>
              </w:tc>
              <w:tc>
                <w:tcPr>
                  <w:tcW w:w="2200" w:type="dxa"/>
                  <w:noWrap w:val="0"/>
                  <w:vAlign w:val="center"/>
                </w:tcPr>
                <w:p w14:paraId="14E573E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50t/h,0.25×2kwh</w:t>
                  </w:r>
                </w:p>
              </w:tc>
              <w:tc>
                <w:tcPr>
                  <w:tcW w:w="966" w:type="dxa"/>
                  <w:noWrap w:val="0"/>
                  <w:vAlign w:val="center"/>
                </w:tcPr>
                <w:p w14:paraId="450E2B62">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40808CE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w:t>
                  </w:r>
                </w:p>
              </w:tc>
            </w:tr>
            <w:tr w14:paraId="45456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shd w:val="clear" w:color="auto" w:fill="auto"/>
                  <w:noWrap w:val="0"/>
                  <w:vAlign w:val="center"/>
                </w:tcPr>
                <w:p w14:paraId="6EE5F37E">
                  <w:pPr>
                    <w:pStyle w:val="60"/>
                    <w:widowControl w:val="0"/>
                    <w:rPr>
                      <w:rFonts w:hint="eastAsia" w:ascii="Times New Roman" w:hAnsi="Times New Roman" w:eastAsia="宋体" w:cs="Times New Roman"/>
                      <w:color w:val="auto"/>
                      <w:kern w:val="2"/>
                      <w:sz w:val="21"/>
                      <w:szCs w:val="21"/>
                      <w:lang w:val="en-US" w:eastAsia="zh-CN"/>
                    </w:rPr>
                  </w:pPr>
                </w:p>
              </w:tc>
              <w:tc>
                <w:tcPr>
                  <w:tcW w:w="970" w:type="dxa"/>
                  <w:noWrap w:val="0"/>
                  <w:vAlign w:val="center"/>
                </w:tcPr>
                <w:p w14:paraId="178E4E9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15</w:t>
                  </w:r>
                </w:p>
              </w:tc>
              <w:tc>
                <w:tcPr>
                  <w:tcW w:w="2393" w:type="dxa"/>
                  <w:noWrap w:val="0"/>
                  <w:vAlign w:val="center"/>
                </w:tcPr>
                <w:p w14:paraId="7A1333E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皮带机</w:t>
                  </w:r>
                </w:p>
              </w:tc>
              <w:tc>
                <w:tcPr>
                  <w:tcW w:w="2200" w:type="dxa"/>
                  <w:noWrap w:val="0"/>
                  <w:vAlign w:val="center"/>
                </w:tcPr>
                <w:p w14:paraId="1B1E28B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M650×12,5kwh</w:t>
                  </w:r>
                </w:p>
              </w:tc>
              <w:tc>
                <w:tcPr>
                  <w:tcW w:w="966" w:type="dxa"/>
                  <w:noWrap w:val="0"/>
                  <w:vAlign w:val="center"/>
                </w:tcPr>
                <w:p w14:paraId="4845A15F">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台</w:t>
                  </w:r>
                </w:p>
              </w:tc>
              <w:tc>
                <w:tcPr>
                  <w:tcW w:w="1056" w:type="dxa"/>
                  <w:noWrap w:val="0"/>
                  <w:vAlign w:val="center"/>
                </w:tcPr>
                <w:p w14:paraId="72D09F3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w:t>
                  </w:r>
                </w:p>
              </w:tc>
            </w:tr>
          </w:tbl>
          <w:p w14:paraId="25E6E793">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3）产品方案</w:t>
            </w:r>
          </w:p>
          <w:p w14:paraId="643D4203">
            <w:pPr>
              <w:adjustRightInd w:val="0"/>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.9-2</w:t>
            </w:r>
            <w:r>
              <w:rPr>
                <w:rFonts w:hint="default" w:ascii="Times New Roman" w:hAnsi="Times New Roman" w:eastAsia="宋体" w:cs="Times New Roman"/>
                <w:b/>
                <w:color w:val="auto"/>
                <w:sz w:val="21"/>
                <w:szCs w:val="21"/>
                <w:lang w:val="en-US" w:eastAsia="zh-CN"/>
              </w:rPr>
              <w:t xml:space="preserve">  </w:t>
            </w:r>
            <w:r>
              <w:rPr>
                <w:rFonts w:hint="default" w:ascii="Times New Roman" w:hAnsi="Times New Roman" w:cs="Times New Roman"/>
                <w:b/>
                <w:bCs/>
                <w:color w:val="auto"/>
                <w:sz w:val="21"/>
                <w:szCs w:val="21"/>
                <w:lang w:val="en-US" w:eastAsia="zh-CN"/>
              </w:rPr>
              <w:t>现有</w:t>
            </w:r>
            <w:r>
              <w:rPr>
                <w:rFonts w:hint="eastAsia" w:ascii="Times New Roman" w:hAnsi="Times New Roman" w:eastAsia="宋体" w:cs="Times New Roman"/>
                <w:b/>
                <w:color w:val="auto"/>
                <w:sz w:val="21"/>
                <w:szCs w:val="21"/>
                <w:lang w:val="en-US" w:eastAsia="zh-CN"/>
              </w:rPr>
              <w:t>工程</w:t>
            </w:r>
            <w:r>
              <w:rPr>
                <w:rFonts w:hint="default" w:ascii="Times New Roman" w:hAnsi="Times New Roman" w:eastAsia="宋体" w:cs="Times New Roman"/>
                <w:b/>
                <w:color w:val="auto"/>
                <w:sz w:val="21"/>
                <w:szCs w:val="21"/>
                <w:lang w:val="en-US" w:eastAsia="zh-CN"/>
              </w:rPr>
              <w:t>产品方案</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2564"/>
              <w:gridCol w:w="2836"/>
              <w:gridCol w:w="2634"/>
            </w:tblGrid>
            <w:tr w14:paraId="5A0CBBD6">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96" w:hRule="atLeast"/>
                <w:jc w:val="center"/>
              </w:trPr>
              <w:tc>
                <w:tcPr>
                  <w:tcW w:w="1596" w:type="pct"/>
                  <w:vAlign w:val="center"/>
                </w:tcPr>
                <w:p w14:paraId="067010A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原料</w:t>
                  </w:r>
                </w:p>
              </w:tc>
              <w:tc>
                <w:tcPr>
                  <w:tcW w:w="1765" w:type="pct"/>
                  <w:vAlign w:val="center"/>
                </w:tcPr>
                <w:p w14:paraId="032859B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产品规格尺寸</w:t>
                  </w:r>
                </w:p>
              </w:tc>
              <w:tc>
                <w:tcPr>
                  <w:tcW w:w="1639" w:type="pct"/>
                  <w:vAlign w:val="center"/>
                </w:tcPr>
                <w:p w14:paraId="1BE1CAD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产品生产量</w:t>
                  </w:r>
                </w:p>
              </w:tc>
            </w:tr>
            <w:tr w14:paraId="6B725D59">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1" w:hRule="atLeast"/>
                <w:jc w:val="center"/>
              </w:trPr>
              <w:tc>
                <w:tcPr>
                  <w:tcW w:w="1596" w:type="pct"/>
                  <w:vMerge w:val="restart"/>
                  <w:vAlign w:val="center"/>
                </w:tcPr>
                <w:p w14:paraId="295A23A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石灰石（20-80mm）</w:t>
                  </w:r>
                </w:p>
              </w:tc>
              <w:tc>
                <w:tcPr>
                  <w:tcW w:w="1765" w:type="pct"/>
                  <w:vAlign w:val="center"/>
                </w:tcPr>
                <w:p w14:paraId="419B340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冶金石灰（5～80mm）</w:t>
                  </w:r>
                </w:p>
              </w:tc>
              <w:tc>
                <w:tcPr>
                  <w:tcW w:w="1639" w:type="pct"/>
                  <w:vAlign w:val="center"/>
                </w:tcPr>
                <w:p w14:paraId="299D97F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13.5万吨</w:t>
                  </w:r>
                </w:p>
              </w:tc>
            </w:tr>
            <w:tr w14:paraId="2C9E1344">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61" w:hRule="atLeast"/>
                <w:jc w:val="center"/>
              </w:trPr>
              <w:tc>
                <w:tcPr>
                  <w:tcW w:w="1596" w:type="pct"/>
                  <w:vMerge w:val="continue"/>
                  <w:vAlign w:val="center"/>
                </w:tcPr>
                <w:p w14:paraId="2659AF51">
                  <w:pPr>
                    <w:pStyle w:val="60"/>
                    <w:widowControl w:val="0"/>
                    <w:rPr>
                      <w:rFonts w:hint="eastAsia" w:ascii="Times New Roman" w:hAnsi="Times New Roman" w:eastAsia="宋体" w:cs="Times New Roman"/>
                      <w:color w:val="auto"/>
                      <w:kern w:val="2"/>
                      <w:sz w:val="21"/>
                      <w:szCs w:val="21"/>
                      <w:lang w:val="en-US" w:eastAsia="zh-CN"/>
                    </w:rPr>
                  </w:pPr>
                </w:p>
              </w:tc>
              <w:tc>
                <w:tcPr>
                  <w:tcW w:w="1765" w:type="pct"/>
                  <w:vAlign w:val="center"/>
                </w:tcPr>
                <w:p w14:paraId="631C782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烧结石灰（&lt;5mm）</w:t>
                  </w:r>
                </w:p>
              </w:tc>
              <w:tc>
                <w:tcPr>
                  <w:tcW w:w="1639" w:type="pct"/>
                  <w:vAlign w:val="center"/>
                </w:tcPr>
                <w:p w14:paraId="5189F57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1.5万吨</w:t>
                  </w:r>
                </w:p>
              </w:tc>
            </w:tr>
          </w:tbl>
          <w:p w14:paraId="7FAA6E10">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3.现有工程建设内容</w:t>
            </w:r>
          </w:p>
          <w:p w14:paraId="3F0A0564">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现有工程与本项目衔接情况建表2.1-2 。</w:t>
            </w:r>
          </w:p>
          <w:p w14:paraId="1F50F2BC">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现有工程与本项目平面布置图见附图2。</w:t>
            </w:r>
          </w:p>
          <w:p w14:paraId="1A89A210">
            <w:pPr>
              <w:spacing w:line="360" w:lineRule="auto"/>
              <w:ind w:firstLine="482" w:firstLineChars="200"/>
              <w:jc w:val="both"/>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2.10.现有工程</w:t>
            </w:r>
            <w:r>
              <w:rPr>
                <w:rFonts w:hint="default" w:ascii="Times New Roman" w:hAnsi="Times New Roman" w:eastAsia="宋体" w:cs="Times New Roman"/>
                <w:b/>
                <w:bCs/>
                <w:color w:val="auto"/>
                <w:sz w:val="24"/>
                <w:szCs w:val="24"/>
                <w:lang w:val="en-US" w:eastAsia="zh-CN"/>
              </w:rPr>
              <w:t>污染物排放情况</w:t>
            </w:r>
          </w:p>
          <w:p w14:paraId="1CDFF909">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.10-1</w:t>
            </w:r>
            <w:r>
              <w:rPr>
                <w:rFonts w:hint="eastAsia" w:ascii="Times New Roman" w:hAnsi="Times New Roman" w:eastAsia="宋体" w:cs="Times New Roman"/>
                <w:b/>
                <w:color w:val="auto"/>
                <w:sz w:val="21"/>
                <w:szCs w:val="21"/>
                <w:lang w:val="en-US" w:eastAsia="zh-CN"/>
              </w:rPr>
              <w:t xml:space="preserve">  现有工程环保措施情况表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1415"/>
              <w:gridCol w:w="1394"/>
              <w:gridCol w:w="4317"/>
            </w:tblGrid>
            <w:tr w14:paraId="4AF9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noWrap w:val="0"/>
                  <w:vAlign w:val="center"/>
                </w:tcPr>
                <w:p w14:paraId="64B83F0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分类</w:t>
                  </w:r>
                </w:p>
              </w:tc>
              <w:tc>
                <w:tcPr>
                  <w:tcW w:w="1415" w:type="dxa"/>
                  <w:noWrap w:val="0"/>
                  <w:vAlign w:val="center"/>
                </w:tcPr>
                <w:p w14:paraId="7450A7D1">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排放源</w:t>
                  </w:r>
                </w:p>
              </w:tc>
              <w:tc>
                <w:tcPr>
                  <w:tcW w:w="1394" w:type="dxa"/>
                  <w:noWrap w:val="0"/>
                  <w:vAlign w:val="center"/>
                </w:tcPr>
                <w:p w14:paraId="6025567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污染物</w:t>
                  </w:r>
                </w:p>
              </w:tc>
              <w:tc>
                <w:tcPr>
                  <w:tcW w:w="4317" w:type="dxa"/>
                  <w:noWrap w:val="0"/>
                  <w:vAlign w:val="center"/>
                </w:tcPr>
                <w:p w14:paraId="7632F9B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环评环境保护措施</w:t>
                  </w:r>
                </w:p>
              </w:tc>
            </w:tr>
            <w:tr w14:paraId="2FF05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restart"/>
                  <w:shd w:val="clear" w:color="auto" w:fill="auto"/>
                  <w:noWrap w:val="0"/>
                  <w:vAlign w:val="center"/>
                </w:tcPr>
                <w:p w14:paraId="22545D6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大气污染物</w:t>
                  </w:r>
                </w:p>
              </w:tc>
              <w:tc>
                <w:tcPr>
                  <w:tcW w:w="1415" w:type="dxa"/>
                  <w:shd w:val="clear" w:color="auto" w:fill="auto"/>
                  <w:noWrap w:val="0"/>
                  <w:vAlign w:val="center"/>
                </w:tcPr>
                <w:p w14:paraId="6AF7604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石料堆场</w:t>
                  </w:r>
                </w:p>
              </w:tc>
              <w:tc>
                <w:tcPr>
                  <w:tcW w:w="1394" w:type="dxa"/>
                  <w:shd w:val="clear" w:color="auto" w:fill="auto"/>
                  <w:noWrap w:val="0"/>
                  <w:vAlign w:val="center"/>
                </w:tcPr>
                <w:p w14:paraId="16DC7DD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2867F53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地面硬化，全封闭（20m×20m×4.m）</w:t>
                  </w:r>
                </w:p>
              </w:tc>
            </w:tr>
            <w:tr w14:paraId="249B8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24617269">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6F66E60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煤堆场</w:t>
                  </w:r>
                </w:p>
              </w:tc>
              <w:tc>
                <w:tcPr>
                  <w:tcW w:w="1394" w:type="dxa"/>
                  <w:shd w:val="clear" w:color="auto" w:fill="auto"/>
                  <w:noWrap w:val="0"/>
                  <w:vAlign w:val="center"/>
                </w:tcPr>
                <w:p w14:paraId="5204D201">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3161EFA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地面硬化，全封闭（30m×15m）</w:t>
                  </w:r>
                </w:p>
              </w:tc>
            </w:tr>
            <w:tr w14:paraId="49EBF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7399305D">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4862E5C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原料筛分</w:t>
                  </w:r>
                </w:p>
              </w:tc>
              <w:tc>
                <w:tcPr>
                  <w:tcW w:w="1394" w:type="dxa"/>
                  <w:shd w:val="clear" w:color="auto" w:fill="auto"/>
                  <w:noWrap w:val="0"/>
                  <w:vAlign w:val="center"/>
                </w:tcPr>
                <w:p w14:paraId="6C58A12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70F2BE7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车间全封闭，采用1个集尘罩+1套布袋除尘器进行处理，处理后经15m高排气筒排放（集尘效率90%，除尘效率99%）</w:t>
                  </w:r>
                </w:p>
              </w:tc>
            </w:tr>
            <w:tr w14:paraId="516A7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65BE00F1">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2BB9258D">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上料转载系统</w:t>
                  </w:r>
                </w:p>
              </w:tc>
              <w:tc>
                <w:tcPr>
                  <w:tcW w:w="1394" w:type="dxa"/>
                  <w:shd w:val="clear" w:color="auto" w:fill="auto"/>
                  <w:noWrap w:val="0"/>
                  <w:vAlign w:val="center"/>
                </w:tcPr>
                <w:p w14:paraId="3A05A8FD">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5C97416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石灰及无烟煤在计量仓上料系统分别进行封闭，同时在计量仓上部、竖窑上料口上部分别设置1个集尘罩，采用集尘罩集尘后经一套布袋除尘器除尘后经15m高烟筒排放，设置全封闭的输送转载系统</w:t>
                  </w:r>
                </w:p>
              </w:tc>
            </w:tr>
            <w:tr w14:paraId="6714D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2216C94D">
                  <w:pPr>
                    <w:pStyle w:val="60"/>
                    <w:widowControl w:val="0"/>
                    <w:rPr>
                      <w:rFonts w:hint="eastAsia" w:ascii="Times New Roman" w:hAnsi="Times New Roman" w:eastAsia="宋体" w:cs="Times New Roman"/>
                      <w:color w:val="auto"/>
                      <w:kern w:val="2"/>
                      <w:sz w:val="21"/>
                      <w:szCs w:val="21"/>
                      <w:lang w:val="en-US" w:eastAsia="zh-CN"/>
                    </w:rPr>
                  </w:pPr>
                </w:p>
              </w:tc>
              <w:tc>
                <w:tcPr>
                  <w:tcW w:w="1415" w:type="dxa"/>
                  <w:vMerge w:val="restart"/>
                  <w:shd w:val="clear" w:color="auto" w:fill="auto"/>
                  <w:noWrap w:val="0"/>
                  <w:vAlign w:val="center"/>
                </w:tcPr>
                <w:p w14:paraId="5599D65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石灰机械竖窑</w:t>
                  </w:r>
                </w:p>
              </w:tc>
              <w:tc>
                <w:tcPr>
                  <w:tcW w:w="1394" w:type="dxa"/>
                  <w:shd w:val="clear" w:color="auto" w:fill="auto"/>
                  <w:noWrap w:val="0"/>
                  <w:vAlign w:val="center"/>
                </w:tcPr>
                <w:p w14:paraId="684FBDA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烟尘</w:t>
                  </w:r>
                </w:p>
              </w:tc>
              <w:tc>
                <w:tcPr>
                  <w:tcW w:w="4317" w:type="dxa"/>
                  <w:vMerge w:val="restart"/>
                  <w:noWrap w:val="0"/>
                  <w:vAlign w:val="center"/>
                </w:tcPr>
                <w:p w14:paraId="7200159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每座竖窑设一套旋风除尘+布袋除尘+脱硫除尘（除尘效率99.5，脱硫效率85%）处理后经15m烟筒排放（共2套）</w:t>
                  </w:r>
                </w:p>
              </w:tc>
            </w:tr>
            <w:tr w14:paraId="3BD01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40E8AF6D">
                  <w:pPr>
                    <w:pStyle w:val="60"/>
                    <w:widowControl w:val="0"/>
                    <w:rPr>
                      <w:rFonts w:hint="eastAsia" w:ascii="Times New Roman" w:hAnsi="Times New Roman" w:eastAsia="宋体" w:cs="Times New Roman"/>
                      <w:color w:val="auto"/>
                      <w:kern w:val="2"/>
                      <w:sz w:val="21"/>
                      <w:szCs w:val="21"/>
                      <w:lang w:val="en-US" w:eastAsia="zh-CN"/>
                    </w:rPr>
                  </w:pPr>
                </w:p>
              </w:tc>
              <w:tc>
                <w:tcPr>
                  <w:tcW w:w="1415" w:type="dxa"/>
                  <w:vMerge w:val="continue"/>
                  <w:shd w:val="clear" w:color="auto" w:fill="auto"/>
                  <w:noWrap w:val="0"/>
                  <w:vAlign w:val="center"/>
                </w:tcPr>
                <w:p w14:paraId="770E2A32">
                  <w:pPr>
                    <w:pStyle w:val="60"/>
                    <w:widowControl w:val="0"/>
                    <w:rPr>
                      <w:rFonts w:hint="eastAsia" w:ascii="Times New Roman" w:hAnsi="Times New Roman" w:eastAsia="宋体" w:cs="Times New Roman"/>
                      <w:color w:val="auto"/>
                      <w:kern w:val="2"/>
                      <w:sz w:val="21"/>
                      <w:szCs w:val="21"/>
                      <w:lang w:val="en-US" w:eastAsia="zh-CN"/>
                    </w:rPr>
                  </w:pPr>
                </w:p>
              </w:tc>
              <w:tc>
                <w:tcPr>
                  <w:tcW w:w="1394" w:type="dxa"/>
                  <w:shd w:val="clear" w:color="auto" w:fill="auto"/>
                  <w:noWrap w:val="0"/>
                  <w:vAlign w:val="center"/>
                </w:tcPr>
                <w:p w14:paraId="473AB00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SO</w:t>
                  </w:r>
                  <w:r>
                    <w:rPr>
                      <w:rFonts w:hint="eastAsia" w:ascii="Times New Roman" w:hAnsi="Times New Roman" w:eastAsia="宋体" w:cs="Times New Roman"/>
                      <w:color w:val="auto"/>
                      <w:kern w:val="2"/>
                      <w:sz w:val="21"/>
                      <w:szCs w:val="21"/>
                      <w:vertAlign w:val="subscript"/>
                      <w:lang w:val="en-US" w:eastAsia="zh-CN"/>
                    </w:rPr>
                    <w:t>2</w:t>
                  </w:r>
                </w:p>
              </w:tc>
              <w:tc>
                <w:tcPr>
                  <w:tcW w:w="4317" w:type="dxa"/>
                  <w:vMerge w:val="continue"/>
                  <w:noWrap w:val="0"/>
                  <w:vAlign w:val="center"/>
                </w:tcPr>
                <w:p w14:paraId="226B4C0E">
                  <w:pPr>
                    <w:pStyle w:val="60"/>
                    <w:widowControl w:val="0"/>
                    <w:rPr>
                      <w:rFonts w:hint="eastAsia" w:ascii="Times New Roman" w:hAnsi="Times New Roman" w:eastAsia="宋体" w:cs="Times New Roman"/>
                      <w:color w:val="auto"/>
                      <w:kern w:val="2"/>
                      <w:sz w:val="21"/>
                      <w:szCs w:val="21"/>
                      <w:lang w:val="en-US" w:eastAsia="zh-CN"/>
                    </w:rPr>
                  </w:pPr>
                </w:p>
              </w:tc>
            </w:tr>
            <w:tr w14:paraId="41C79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6650DBBF">
                  <w:pPr>
                    <w:pStyle w:val="60"/>
                    <w:widowControl w:val="0"/>
                    <w:rPr>
                      <w:rFonts w:hint="eastAsia" w:ascii="Times New Roman" w:hAnsi="Times New Roman" w:eastAsia="宋体" w:cs="Times New Roman"/>
                      <w:color w:val="auto"/>
                      <w:kern w:val="2"/>
                      <w:sz w:val="21"/>
                      <w:szCs w:val="21"/>
                      <w:lang w:val="en-US" w:eastAsia="zh-CN"/>
                    </w:rPr>
                  </w:pPr>
                </w:p>
              </w:tc>
              <w:tc>
                <w:tcPr>
                  <w:tcW w:w="1415" w:type="dxa"/>
                  <w:vMerge w:val="continue"/>
                  <w:shd w:val="clear" w:color="auto" w:fill="auto"/>
                  <w:noWrap w:val="0"/>
                  <w:vAlign w:val="center"/>
                </w:tcPr>
                <w:p w14:paraId="693C8715">
                  <w:pPr>
                    <w:pStyle w:val="60"/>
                    <w:widowControl w:val="0"/>
                    <w:rPr>
                      <w:rFonts w:hint="eastAsia" w:ascii="Times New Roman" w:hAnsi="Times New Roman" w:eastAsia="宋体" w:cs="Times New Roman"/>
                      <w:color w:val="auto"/>
                      <w:kern w:val="2"/>
                      <w:sz w:val="21"/>
                      <w:szCs w:val="21"/>
                      <w:lang w:val="en-US" w:eastAsia="zh-CN"/>
                    </w:rPr>
                  </w:pPr>
                </w:p>
              </w:tc>
              <w:tc>
                <w:tcPr>
                  <w:tcW w:w="1394" w:type="dxa"/>
                  <w:shd w:val="clear" w:color="auto" w:fill="auto"/>
                  <w:noWrap w:val="0"/>
                  <w:vAlign w:val="center"/>
                </w:tcPr>
                <w:p w14:paraId="4DA4CA1F">
                  <w:pPr>
                    <w:pStyle w:val="60"/>
                    <w:widowContro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NOx</w:t>
                  </w:r>
                </w:p>
              </w:tc>
              <w:tc>
                <w:tcPr>
                  <w:tcW w:w="4317" w:type="dxa"/>
                  <w:vMerge w:val="continue"/>
                  <w:noWrap w:val="0"/>
                  <w:vAlign w:val="center"/>
                </w:tcPr>
                <w:p w14:paraId="7FFA33D2">
                  <w:pPr>
                    <w:pStyle w:val="60"/>
                    <w:widowControl w:val="0"/>
                    <w:rPr>
                      <w:rFonts w:hint="eastAsia" w:ascii="Times New Roman" w:hAnsi="Times New Roman" w:eastAsia="宋体" w:cs="Times New Roman"/>
                      <w:color w:val="auto"/>
                      <w:kern w:val="2"/>
                      <w:sz w:val="21"/>
                      <w:szCs w:val="21"/>
                      <w:lang w:val="en-US" w:eastAsia="zh-CN"/>
                    </w:rPr>
                  </w:pPr>
                </w:p>
              </w:tc>
            </w:tr>
            <w:tr w14:paraId="57731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5F6685F8">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43C11C4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石灰筛分</w:t>
                  </w:r>
                </w:p>
              </w:tc>
              <w:tc>
                <w:tcPr>
                  <w:tcW w:w="1394" w:type="dxa"/>
                  <w:shd w:val="clear" w:color="auto" w:fill="auto"/>
                  <w:noWrap w:val="0"/>
                  <w:vAlign w:val="center"/>
                </w:tcPr>
                <w:p w14:paraId="0C6FBDDC">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3A18A7E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在出灰口和筛分机上分别设集尘罩经一台除尘器除尘，除尘器的除尘效率达99%，粉尘经袋式除尘器处理后，废气通过15m高的排气筒外排</w:t>
                  </w:r>
                </w:p>
              </w:tc>
            </w:tr>
            <w:tr w14:paraId="7354E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45900957">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0CBF82B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成品库</w:t>
                  </w:r>
                </w:p>
              </w:tc>
              <w:tc>
                <w:tcPr>
                  <w:tcW w:w="1394" w:type="dxa"/>
                  <w:shd w:val="clear" w:color="auto" w:fill="auto"/>
                  <w:noWrap w:val="0"/>
                  <w:vAlign w:val="center"/>
                </w:tcPr>
                <w:p w14:paraId="5712206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5B4BBE64">
                  <w:pPr>
                    <w:pStyle w:val="60"/>
                    <w:widowControl w:val="0"/>
                    <w:rPr>
                      <w:rFonts w:hint="eastAsia" w:ascii="Times New Roman" w:hAnsi="Times New Roman" w:eastAsia="宋体" w:cs="Times New Roman"/>
                      <w:color w:val="auto"/>
                      <w:kern w:val="2"/>
                      <w:sz w:val="21"/>
                      <w:szCs w:val="21"/>
                      <w:lang w:val="en-US" w:eastAsia="zh-CN"/>
                    </w:rPr>
                  </w:pPr>
                  <w:r>
                    <w:rPr>
                      <w:rFonts w:hint="eastAsia" w:eastAsia="宋体" w:cs="Times New Roman"/>
                      <w:color w:val="auto"/>
                      <w:kern w:val="2"/>
                      <w:sz w:val="21"/>
                      <w:szCs w:val="21"/>
                      <w:lang w:val="en-US" w:eastAsia="zh-CN"/>
                    </w:rPr>
                    <w:t>2</w:t>
                  </w:r>
                  <w:r>
                    <w:rPr>
                      <w:rFonts w:hint="eastAsia" w:ascii="Times New Roman" w:hAnsi="Times New Roman" w:eastAsia="宋体" w:cs="Times New Roman"/>
                      <w:color w:val="auto"/>
                      <w:kern w:val="2"/>
                      <w:sz w:val="21"/>
                      <w:szCs w:val="21"/>
                      <w:lang w:val="en-US" w:eastAsia="zh-CN"/>
                    </w:rPr>
                    <w:t>个筒仓分别在仓顶设一台负压脉冲布袋除尘器，除尘后经高处仓顶的排气筒排放</w:t>
                  </w:r>
                </w:p>
              </w:tc>
            </w:tr>
            <w:tr w14:paraId="29F41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6AF15282">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2711AFFC">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运输车辆</w:t>
                  </w:r>
                </w:p>
              </w:tc>
              <w:tc>
                <w:tcPr>
                  <w:tcW w:w="1394" w:type="dxa"/>
                  <w:shd w:val="clear" w:color="auto" w:fill="auto"/>
                  <w:noWrap w:val="0"/>
                  <w:vAlign w:val="center"/>
                </w:tcPr>
                <w:p w14:paraId="547A0407">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粉尘</w:t>
                  </w:r>
                </w:p>
              </w:tc>
              <w:tc>
                <w:tcPr>
                  <w:tcW w:w="4317" w:type="dxa"/>
                  <w:noWrap w:val="0"/>
                  <w:vAlign w:val="center"/>
                </w:tcPr>
                <w:p w14:paraId="6179DF20">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限制汽车超载超速、运输车辆加盖篷布，、运输汽车出厂前对轮胎、清洗车体并及时清扫路面、道路硬化</w:t>
                  </w:r>
                </w:p>
              </w:tc>
            </w:tr>
            <w:tr w14:paraId="7614F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restart"/>
                  <w:shd w:val="clear" w:color="auto" w:fill="auto"/>
                  <w:noWrap w:val="0"/>
                  <w:vAlign w:val="center"/>
                </w:tcPr>
                <w:p w14:paraId="3EBD1E7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水污染物</w:t>
                  </w:r>
                </w:p>
              </w:tc>
              <w:tc>
                <w:tcPr>
                  <w:tcW w:w="1415" w:type="dxa"/>
                  <w:shd w:val="clear" w:color="auto" w:fill="auto"/>
                  <w:noWrap w:val="0"/>
                  <w:vAlign w:val="center"/>
                </w:tcPr>
                <w:p w14:paraId="47DE79E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洗车平台</w:t>
                  </w:r>
                </w:p>
              </w:tc>
              <w:tc>
                <w:tcPr>
                  <w:tcW w:w="1394" w:type="dxa"/>
                  <w:shd w:val="clear" w:color="auto" w:fill="auto"/>
                  <w:noWrap w:val="0"/>
                  <w:vAlign w:val="center"/>
                </w:tcPr>
                <w:p w14:paraId="3E7EE95B">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石油类、SS</w:t>
                  </w:r>
                </w:p>
              </w:tc>
              <w:tc>
                <w:tcPr>
                  <w:tcW w:w="4317" w:type="dxa"/>
                  <w:noWrap w:val="0"/>
                  <w:vAlign w:val="center"/>
                </w:tcPr>
                <w:p w14:paraId="455F56E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经简单处理后直接用于洒水抑尘</w:t>
                  </w:r>
                </w:p>
              </w:tc>
            </w:tr>
            <w:tr w14:paraId="753BA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6899CDBE">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43057DD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运输车辆</w:t>
                  </w:r>
                </w:p>
              </w:tc>
              <w:tc>
                <w:tcPr>
                  <w:tcW w:w="1394" w:type="dxa"/>
                  <w:shd w:val="clear" w:color="auto" w:fill="auto"/>
                  <w:noWrap w:val="0"/>
                  <w:vAlign w:val="center"/>
                </w:tcPr>
                <w:p w14:paraId="236C3EE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COD、BOD、SS</w:t>
                  </w:r>
                </w:p>
              </w:tc>
              <w:tc>
                <w:tcPr>
                  <w:tcW w:w="4317" w:type="dxa"/>
                  <w:noWrap w:val="0"/>
                  <w:vAlign w:val="center"/>
                </w:tcPr>
                <w:p w14:paraId="280D9F9E">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水质简单，直接用于洒水抑尘</w:t>
                  </w:r>
                </w:p>
              </w:tc>
            </w:tr>
            <w:tr w14:paraId="7ECB7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908" w:type="dxa"/>
                  <w:vMerge w:val="restart"/>
                  <w:shd w:val="clear" w:color="auto" w:fill="auto"/>
                  <w:noWrap w:val="0"/>
                  <w:vAlign w:val="center"/>
                </w:tcPr>
                <w:p w14:paraId="33F88173">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固体废物</w:t>
                  </w:r>
                </w:p>
              </w:tc>
              <w:tc>
                <w:tcPr>
                  <w:tcW w:w="1415" w:type="dxa"/>
                  <w:shd w:val="clear" w:color="auto" w:fill="auto"/>
                  <w:noWrap w:val="0"/>
                  <w:vAlign w:val="center"/>
                </w:tcPr>
                <w:p w14:paraId="6D522042">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生产区</w:t>
                  </w:r>
                </w:p>
              </w:tc>
              <w:tc>
                <w:tcPr>
                  <w:tcW w:w="1394" w:type="dxa"/>
                  <w:shd w:val="clear" w:color="auto" w:fill="auto"/>
                  <w:noWrap w:val="0"/>
                  <w:vAlign w:val="center"/>
                </w:tcPr>
                <w:p w14:paraId="2F2B37DF">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脱硫渣</w:t>
                  </w:r>
                </w:p>
              </w:tc>
              <w:tc>
                <w:tcPr>
                  <w:tcW w:w="4317" w:type="dxa"/>
                  <w:noWrap w:val="0"/>
                  <w:vAlign w:val="center"/>
                </w:tcPr>
                <w:p w14:paraId="5C65259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收集后作为建筑材料出售</w:t>
                  </w:r>
                </w:p>
              </w:tc>
            </w:tr>
            <w:tr w14:paraId="71B38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2718BEDA">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59504A5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生活区</w:t>
                  </w:r>
                </w:p>
              </w:tc>
              <w:tc>
                <w:tcPr>
                  <w:tcW w:w="1394" w:type="dxa"/>
                  <w:shd w:val="clear" w:color="auto" w:fill="auto"/>
                  <w:noWrap w:val="0"/>
                  <w:vAlign w:val="center"/>
                </w:tcPr>
                <w:p w14:paraId="71E4A73A">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生活垃圾</w:t>
                  </w:r>
                </w:p>
              </w:tc>
              <w:tc>
                <w:tcPr>
                  <w:tcW w:w="4317" w:type="dxa"/>
                  <w:noWrap w:val="0"/>
                  <w:vAlign w:val="center"/>
                </w:tcPr>
                <w:p w14:paraId="23890176">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垃圾桶集中收集后由当地环卫部门定期出售</w:t>
                  </w:r>
                </w:p>
              </w:tc>
            </w:tr>
            <w:tr w14:paraId="79706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vMerge w:val="continue"/>
                  <w:shd w:val="clear" w:color="auto" w:fill="auto"/>
                  <w:noWrap w:val="0"/>
                  <w:vAlign w:val="center"/>
                </w:tcPr>
                <w:p w14:paraId="06CE473E">
                  <w:pPr>
                    <w:pStyle w:val="60"/>
                    <w:widowControl w:val="0"/>
                    <w:rPr>
                      <w:rFonts w:hint="eastAsia" w:ascii="Times New Roman" w:hAnsi="Times New Roman" w:eastAsia="宋体" w:cs="Times New Roman"/>
                      <w:color w:val="auto"/>
                      <w:kern w:val="2"/>
                      <w:sz w:val="21"/>
                      <w:szCs w:val="21"/>
                      <w:lang w:val="en-US" w:eastAsia="zh-CN"/>
                    </w:rPr>
                  </w:pPr>
                </w:p>
              </w:tc>
              <w:tc>
                <w:tcPr>
                  <w:tcW w:w="1415" w:type="dxa"/>
                  <w:shd w:val="clear" w:color="auto" w:fill="auto"/>
                  <w:noWrap w:val="0"/>
                  <w:vAlign w:val="center"/>
                </w:tcPr>
                <w:p w14:paraId="700799B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生产区</w:t>
                  </w:r>
                </w:p>
              </w:tc>
              <w:tc>
                <w:tcPr>
                  <w:tcW w:w="1394" w:type="dxa"/>
                  <w:shd w:val="clear" w:color="auto" w:fill="auto"/>
                  <w:noWrap w:val="0"/>
                  <w:vAlign w:val="center"/>
                </w:tcPr>
                <w:p w14:paraId="3F08A1DD">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除尘灰</w:t>
                  </w:r>
                </w:p>
              </w:tc>
              <w:tc>
                <w:tcPr>
                  <w:tcW w:w="4317" w:type="dxa"/>
                  <w:noWrap w:val="0"/>
                  <w:vAlign w:val="center"/>
                </w:tcPr>
                <w:p w14:paraId="702DF15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全部回用于生产，不外排</w:t>
                  </w:r>
                </w:p>
              </w:tc>
            </w:tr>
            <w:tr w14:paraId="5A2A7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shd w:val="clear" w:color="auto" w:fill="auto"/>
                  <w:noWrap w:val="0"/>
                  <w:vAlign w:val="center"/>
                </w:tcPr>
                <w:p w14:paraId="50AC66E5">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噪</w:t>
                  </w:r>
                </w:p>
                <w:p w14:paraId="4A9E51B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声</w:t>
                  </w:r>
                </w:p>
              </w:tc>
              <w:tc>
                <w:tcPr>
                  <w:tcW w:w="1415" w:type="dxa"/>
                  <w:shd w:val="clear" w:color="auto" w:fill="auto"/>
                  <w:noWrap w:val="0"/>
                  <w:vAlign w:val="center"/>
                </w:tcPr>
                <w:p w14:paraId="5134AF4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设备噪声</w:t>
                  </w:r>
                </w:p>
              </w:tc>
              <w:tc>
                <w:tcPr>
                  <w:tcW w:w="5711" w:type="dxa"/>
                  <w:gridSpan w:val="2"/>
                  <w:shd w:val="clear" w:color="auto" w:fill="auto"/>
                  <w:noWrap w:val="0"/>
                  <w:vAlign w:val="center"/>
                </w:tcPr>
                <w:p w14:paraId="0F99B4D4">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购置低噪声设备，室内安装，基础减振，夜间禁止运输，昼间禁止鸣笛</w:t>
                  </w:r>
                </w:p>
              </w:tc>
            </w:tr>
            <w:tr w14:paraId="40B69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8" w:type="dxa"/>
                  <w:shd w:val="clear" w:color="auto" w:fill="auto"/>
                  <w:noWrap w:val="0"/>
                  <w:vAlign w:val="center"/>
                </w:tcPr>
                <w:p w14:paraId="14218E89">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生态</w:t>
                  </w:r>
                </w:p>
              </w:tc>
              <w:tc>
                <w:tcPr>
                  <w:tcW w:w="7126" w:type="dxa"/>
                  <w:gridSpan w:val="3"/>
                  <w:shd w:val="clear" w:color="auto" w:fill="auto"/>
                  <w:noWrap w:val="0"/>
                  <w:vAlign w:val="center"/>
                </w:tcPr>
                <w:p w14:paraId="7835B878">
                  <w:pPr>
                    <w:pStyle w:val="60"/>
                    <w:widowControl w:val="0"/>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地面硬化、绿化面积5000m</w:t>
                  </w:r>
                  <w:r>
                    <w:rPr>
                      <w:rFonts w:hint="eastAsia" w:ascii="Times New Roman" w:hAnsi="Times New Roman" w:eastAsia="宋体" w:cs="Times New Roman"/>
                      <w:color w:val="auto"/>
                      <w:kern w:val="2"/>
                      <w:sz w:val="21"/>
                      <w:szCs w:val="21"/>
                      <w:vertAlign w:val="superscript"/>
                      <w:lang w:val="en-US" w:eastAsia="zh-CN"/>
                    </w:rPr>
                    <w:t>2</w:t>
                  </w:r>
                  <w:r>
                    <w:rPr>
                      <w:rFonts w:hint="eastAsia" w:ascii="Times New Roman" w:hAnsi="Times New Roman" w:eastAsia="宋体" w:cs="Times New Roman"/>
                      <w:color w:val="auto"/>
                      <w:kern w:val="2"/>
                      <w:sz w:val="21"/>
                      <w:szCs w:val="21"/>
                      <w:lang w:val="en-US" w:eastAsia="zh-CN"/>
                    </w:rPr>
                    <w:t>绿化系数达到15%</w:t>
                  </w:r>
                </w:p>
              </w:tc>
            </w:tr>
          </w:tbl>
          <w:p w14:paraId="44A1C209">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根据企业提供的由山西金硕源环境检测有限公司于2023年6月10日（第三季度）出具的《自行监测报告》，监测情况如下：</w:t>
            </w:r>
          </w:p>
          <w:p w14:paraId="15EF40C8">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1B038EA9">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113B144A">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DF5CD2C">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3D3F8B6D">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EC7FB74">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48AA2B4B">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55939D7">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10C41DBD">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5B2AF8AA">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78CF85D">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08A572B3">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7408DBEF">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23E55434">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4211591A">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42C41385">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11E2F2EA">
            <w:pPr>
              <w:adjustRightInd w:val="0"/>
              <w:jc w:val="center"/>
              <w:rPr>
                <w:rFonts w:hint="eastAsia" w:ascii="Times New Roman" w:hAnsi="Times New Roman" w:eastAsia="宋体" w:cs="Times New Roman"/>
                <w:b/>
                <w:color w:val="auto"/>
                <w:sz w:val="21"/>
                <w:szCs w:val="21"/>
                <w:lang w:val="en-US" w:eastAsia="zh-CN"/>
              </w:rPr>
            </w:pPr>
          </w:p>
          <w:p w14:paraId="7633FD5B">
            <w:pPr>
              <w:adjustRightInd w:val="0"/>
              <w:jc w:val="center"/>
              <w:rPr>
                <w:rFonts w:hint="eastAsia" w:ascii="Times New Roman" w:hAnsi="Times New Roman" w:eastAsia="宋体" w:cs="Times New Roman"/>
                <w:b/>
                <w:color w:val="auto"/>
                <w:sz w:val="21"/>
                <w:szCs w:val="21"/>
                <w:lang w:val="en-US" w:eastAsia="zh-CN"/>
              </w:rPr>
            </w:pPr>
          </w:p>
          <w:p w14:paraId="389F1464">
            <w:pPr>
              <w:adjustRightInd w:val="0"/>
              <w:jc w:val="center"/>
              <w:rPr>
                <w:rFonts w:hint="eastAsia" w:ascii="Times New Roman" w:hAnsi="Times New Roman" w:eastAsia="宋体" w:cs="Times New Roman"/>
                <w:b/>
                <w:color w:val="auto"/>
                <w:sz w:val="21"/>
                <w:szCs w:val="21"/>
                <w:lang w:val="en-US" w:eastAsia="zh-CN"/>
              </w:rPr>
            </w:pPr>
          </w:p>
          <w:p w14:paraId="36F3B81F">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.10-2</w:t>
            </w:r>
            <w:r>
              <w:rPr>
                <w:rFonts w:hint="eastAsia" w:ascii="Times New Roman" w:hAnsi="Times New Roman" w:eastAsia="宋体" w:cs="Times New Roman"/>
                <w:b/>
                <w:color w:val="auto"/>
                <w:sz w:val="21"/>
                <w:szCs w:val="21"/>
                <w:lang w:val="en-US" w:eastAsia="zh-CN"/>
              </w:rPr>
              <w:t xml:space="preserve">  现有工程石灰窑废气监测情况表</w:t>
            </w:r>
          </w:p>
          <w:p w14:paraId="78C1B4B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4"/>
                <w:szCs w:val="24"/>
                <w:lang w:val="en-US" w:eastAsia="zh-CN"/>
              </w:rPr>
            </w:pPr>
            <w:r>
              <w:drawing>
                <wp:inline distT="0" distB="0" distL="114300" distR="114300">
                  <wp:extent cx="5027295" cy="4149090"/>
                  <wp:effectExtent l="0" t="0" r="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34">
                            <a:grayscl/>
                            <a:lum contrast="36000"/>
                          </a:blip>
                          <a:srcRect l="-76" b="1060"/>
                          <a:stretch>
                            <a:fillRect/>
                          </a:stretch>
                        </pic:blipFill>
                        <pic:spPr>
                          <a:xfrm>
                            <a:off x="0" y="0"/>
                            <a:ext cx="5027295" cy="4149090"/>
                          </a:xfrm>
                          <a:prstGeom prst="rect">
                            <a:avLst/>
                          </a:prstGeom>
                          <a:noFill/>
                          <a:ln>
                            <a:solidFill>
                              <a:schemeClr val="tx1"/>
                            </a:solidFill>
                          </a:ln>
                        </pic:spPr>
                      </pic:pic>
                    </a:graphicData>
                  </a:graphic>
                </wp:inline>
              </w:drawing>
            </w:r>
          </w:p>
          <w:p w14:paraId="0EBDD8B4">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.10-3</w:t>
            </w:r>
            <w:r>
              <w:rPr>
                <w:rFonts w:hint="eastAsia" w:ascii="Times New Roman" w:hAnsi="Times New Roman" w:eastAsia="宋体" w:cs="Times New Roman"/>
                <w:b/>
                <w:color w:val="auto"/>
                <w:sz w:val="21"/>
                <w:szCs w:val="21"/>
                <w:lang w:val="en-US" w:eastAsia="zh-CN"/>
              </w:rPr>
              <w:t xml:space="preserve">  现有工程石灰筛分废气监测情况表</w:t>
            </w:r>
          </w:p>
          <w:p w14:paraId="4EC209E8">
            <w:pPr>
              <w:adjustRightInd w:val="0"/>
              <w:jc w:val="center"/>
              <w:rPr>
                <w:rFonts w:hint="eastAsia" w:ascii="Times New Roman" w:hAnsi="Times New Roman" w:eastAsia="宋体" w:cs="Times New Roman"/>
                <w:b/>
                <w:color w:val="auto"/>
                <w:sz w:val="21"/>
                <w:szCs w:val="21"/>
                <w:lang w:val="en-US" w:eastAsia="zh-CN"/>
              </w:rPr>
            </w:pPr>
            <w:r>
              <w:drawing>
                <wp:inline distT="0" distB="0" distL="114300" distR="114300">
                  <wp:extent cx="4977130" cy="1929765"/>
                  <wp:effectExtent l="9525" t="9525" r="23495" b="2286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35">
                            <a:grayscl/>
                            <a:lum contrast="30000"/>
                          </a:blip>
                          <a:stretch>
                            <a:fillRect/>
                          </a:stretch>
                        </pic:blipFill>
                        <pic:spPr>
                          <a:xfrm>
                            <a:off x="0" y="0"/>
                            <a:ext cx="4977130" cy="1929765"/>
                          </a:xfrm>
                          <a:prstGeom prst="rect">
                            <a:avLst/>
                          </a:prstGeom>
                          <a:noFill/>
                          <a:ln>
                            <a:solidFill>
                              <a:schemeClr val="tx1"/>
                            </a:solidFill>
                          </a:ln>
                        </pic:spPr>
                      </pic:pic>
                    </a:graphicData>
                  </a:graphic>
                </wp:inline>
              </w:drawing>
            </w:r>
          </w:p>
          <w:p w14:paraId="7092BEBF">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.10-4</w:t>
            </w:r>
            <w:r>
              <w:rPr>
                <w:rFonts w:hint="eastAsia" w:ascii="Times New Roman" w:hAnsi="Times New Roman" w:eastAsia="宋体" w:cs="Times New Roman"/>
                <w:b/>
                <w:color w:val="auto"/>
                <w:sz w:val="21"/>
                <w:szCs w:val="21"/>
                <w:lang w:val="en-US" w:eastAsia="zh-CN"/>
              </w:rPr>
              <w:t xml:space="preserve">  现有工程石灰筛分废气监测情况表</w:t>
            </w:r>
          </w:p>
          <w:p w14:paraId="77CBE6C3">
            <w:pPr>
              <w:adjustRightInd w:val="0"/>
              <w:jc w:val="center"/>
              <w:rPr>
                <w:rFonts w:hint="eastAsia" w:ascii="Times New Roman" w:hAnsi="Times New Roman" w:eastAsia="宋体" w:cs="Times New Roman"/>
                <w:b/>
                <w:color w:val="auto"/>
                <w:sz w:val="21"/>
                <w:szCs w:val="21"/>
                <w:lang w:val="en-US" w:eastAsia="zh-CN"/>
              </w:rPr>
            </w:pPr>
            <w:r>
              <w:drawing>
                <wp:inline distT="0" distB="0" distL="114300" distR="114300">
                  <wp:extent cx="4955540" cy="1691640"/>
                  <wp:effectExtent l="9525" t="9525" r="26035" b="1333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36">
                            <a:grayscl/>
                            <a:lum contrast="30000"/>
                          </a:blip>
                          <a:stretch>
                            <a:fillRect/>
                          </a:stretch>
                        </pic:blipFill>
                        <pic:spPr>
                          <a:xfrm>
                            <a:off x="0" y="0"/>
                            <a:ext cx="4955540" cy="1691640"/>
                          </a:xfrm>
                          <a:prstGeom prst="rect">
                            <a:avLst/>
                          </a:prstGeom>
                          <a:noFill/>
                          <a:ln>
                            <a:solidFill>
                              <a:schemeClr val="tx1"/>
                            </a:solidFill>
                          </a:ln>
                        </pic:spPr>
                      </pic:pic>
                    </a:graphicData>
                  </a:graphic>
                </wp:inline>
              </w:drawing>
            </w:r>
          </w:p>
          <w:p w14:paraId="626877B0">
            <w:pPr>
              <w:adjustRightInd w:val="0"/>
              <w:jc w:val="center"/>
              <w:rPr>
                <w:rFonts w:hint="eastAsia" w:ascii="Times New Roman" w:hAnsi="Times New Roman" w:eastAsia="宋体" w:cs="Times New Roman"/>
                <w:b/>
                <w:color w:val="auto"/>
                <w:sz w:val="21"/>
                <w:szCs w:val="21"/>
                <w:lang w:val="en-US" w:eastAsia="zh-CN"/>
              </w:rPr>
            </w:pPr>
          </w:p>
          <w:p w14:paraId="40E8743E">
            <w:pPr>
              <w:adjustRightInd w:val="0"/>
              <w:jc w:val="center"/>
              <w:rPr>
                <w:rFonts w:hint="eastAsia" w:ascii="Times New Roman" w:hAnsi="Times New Roman" w:eastAsia="宋体" w:cs="Times New Roman"/>
                <w:b/>
                <w:color w:val="auto"/>
                <w:sz w:val="21"/>
                <w:szCs w:val="21"/>
                <w:lang w:val="en-US" w:eastAsia="zh-CN"/>
              </w:rPr>
            </w:pPr>
          </w:p>
          <w:p w14:paraId="6DB3FDF3">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.10-5</w:t>
            </w:r>
            <w:r>
              <w:rPr>
                <w:rFonts w:hint="eastAsia" w:ascii="Times New Roman" w:hAnsi="Times New Roman" w:eastAsia="宋体" w:cs="Times New Roman"/>
                <w:b/>
                <w:color w:val="auto"/>
                <w:sz w:val="21"/>
                <w:szCs w:val="21"/>
                <w:lang w:val="en-US" w:eastAsia="zh-CN"/>
              </w:rPr>
              <w:t xml:space="preserve">  现有工程1#成品仓废气监测情况表</w:t>
            </w:r>
          </w:p>
          <w:p w14:paraId="193CD48A">
            <w:pPr>
              <w:adjustRightInd w:val="0"/>
              <w:jc w:val="center"/>
              <w:rPr>
                <w:rFonts w:hint="eastAsia" w:ascii="Times New Roman" w:hAnsi="Times New Roman" w:eastAsia="宋体" w:cs="Times New Roman"/>
                <w:b/>
                <w:color w:val="auto"/>
                <w:sz w:val="21"/>
                <w:szCs w:val="21"/>
                <w:lang w:val="en-US" w:eastAsia="zh-CN"/>
              </w:rPr>
            </w:pPr>
            <w:r>
              <w:drawing>
                <wp:inline distT="0" distB="0" distL="114300" distR="114300">
                  <wp:extent cx="4932680" cy="1593215"/>
                  <wp:effectExtent l="9525" t="9525" r="10795" b="165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7">
                            <a:grayscl/>
                            <a:lum contrast="36000"/>
                          </a:blip>
                          <a:stretch>
                            <a:fillRect/>
                          </a:stretch>
                        </pic:blipFill>
                        <pic:spPr>
                          <a:xfrm>
                            <a:off x="0" y="0"/>
                            <a:ext cx="4932680" cy="1593215"/>
                          </a:xfrm>
                          <a:prstGeom prst="rect">
                            <a:avLst/>
                          </a:prstGeom>
                          <a:noFill/>
                          <a:ln>
                            <a:solidFill>
                              <a:schemeClr val="tx1"/>
                            </a:solidFill>
                          </a:ln>
                        </pic:spPr>
                      </pic:pic>
                    </a:graphicData>
                  </a:graphic>
                </wp:inline>
              </w:drawing>
            </w:r>
          </w:p>
          <w:p w14:paraId="312049A3">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.10-6</w:t>
            </w:r>
            <w:r>
              <w:rPr>
                <w:rFonts w:hint="eastAsia" w:ascii="Times New Roman" w:hAnsi="Times New Roman" w:eastAsia="宋体" w:cs="Times New Roman"/>
                <w:b/>
                <w:color w:val="auto"/>
                <w:sz w:val="21"/>
                <w:szCs w:val="21"/>
                <w:lang w:val="en-US" w:eastAsia="zh-CN"/>
              </w:rPr>
              <w:t xml:space="preserve">  现有工程1#成品仓废气监测情况表</w:t>
            </w:r>
          </w:p>
          <w:p w14:paraId="769CA68B">
            <w:pPr>
              <w:adjustRightInd w:val="0"/>
              <w:jc w:val="center"/>
              <w:rPr>
                <w:rFonts w:hint="eastAsia" w:ascii="Times New Roman" w:hAnsi="Times New Roman" w:eastAsia="宋体" w:cs="Times New Roman"/>
                <w:b/>
                <w:color w:val="auto"/>
                <w:sz w:val="21"/>
                <w:szCs w:val="21"/>
                <w:lang w:val="en-US" w:eastAsia="zh-CN"/>
              </w:rPr>
            </w:pPr>
            <w:r>
              <w:drawing>
                <wp:inline distT="0" distB="0" distL="114300" distR="114300">
                  <wp:extent cx="4850130" cy="1739265"/>
                  <wp:effectExtent l="9525" t="9525" r="17145" b="2286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8">
                            <a:grayscl/>
                            <a:lum contrast="30000"/>
                          </a:blip>
                          <a:stretch>
                            <a:fillRect/>
                          </a:stretch>
                        </pic:blipFill>
                        <pic:spPr>
                          <a:xfrm>
                            <a:off x="0" y="0"/>
                            <a:ext cx="4850130" cy="1739265"/>
                          </a:xfrm>
                          <a:prstGeom prst="rect">
                            <a:avLst/>
                          </a:prstGeom>
                          <a:noFill/>
                          <a:ln>
                            <a:solidFill>
                              <a:schemeClr val="tx1"/>
                            </a:solidFill>
                          </a:ln>
                        </pic:spPr>
                      </pic:pic>
                    </a:graphicData>
                  </a:graphic>
                </wp:inline>
              </w:drawing>
            </w:r>
          </w:p>
          <w:p w14:paraId="1542E178">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.10-7</w:t>
            </w:r>
            <w:r>
              <w:rPr>
                <w:rFonts w:hint="eastAsia" w:ascii="Times New Roman" w:hAnsi="Times New Roman" w:eastAsia="宋体" w:cs="Times New Roman"/>
                <w:b/>
                <w:color w:val="auto"/>
                <w:sz w:val="21"/>
                <w:szCs w:val="21"/>
                <w:lang w:val="en-US" w:eastAsia="zh-CN"/>
              </w:rPr>
              <w:t xml:space="preserve">  现有工程原料筛分废气监测情况表</w:t>
            </w:r>
          </w:p>
          <w:p w14:paraId="3B9ACB64">
            <w:pPr>
              <w:adjustRightInd w:val="0"/>
              <w:jc w:val="center"/>
              <w:rPr>
                <w:rFonts w:hint="eastAsia" w:ascii="Times New Roman" w:hAnsi="Times New Roman" w:eastAsia="宋体" w:cs="Times New Roman"/>
                <w:b/>
                <w:color w:val="auto"/>
                <w:sz w:val="21"/>
                <w:szCs w:val="21"/>
                <w:lang w:val="en-US" w:eastAsia="zh-CN"/>
              </w:rPr>
            </w:pPr>
            <w:r>
              <w:drawing>
                <wp:inline distT="0" distB="0" distL="114300" distR="114300">
                  <wp:extent cx="4841240" cy="1573530"/>
                  <wp:effectExtent l="9525" t="9525" r="26035" b="1714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39">
                            <a:grayscl/>
                            <a:lum contrast="36000"/>
                          </a:blip>
                          <a:stretch>
                            <a:fillRect/>
                          </a:stretch>
                        </pic:blipFill>
                        <pic:spPr>
                          <a:xfrm>
                            <a:off x="0" y="0"/>
                            <a:ext cx="4841240" cy="1573530"/>
                          </a:xfrm>
                          <a:prstGeom prst="rect">
                            <a:avLst/>
                          </a:prstGeom>
                          <a:noFill/>
                          <a:ln>
                            <a:solidFill>
                              <a:schemeClr val="tx1"/>
                            </a:solidFill>
                          </a:ln>
                        </pic:spPr>
                      </pic:pic>
                    </a:graphicData>
                  </a:graphic>
                </wp:inline>
              </w:drawing>
            </w:r>
          </w:p>
          <w:p w14:paraId="71E56399">
            <w:pPr>
              <w:adjustRightInd w:val="0"/>
              <w:jc w:val="center"/>
              <w:rPr>
                <w:rFonts w:hint="default"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.10-8</w:t>
            </w:r>
            <w:r>
              <w:rPr>
                <w:rFonts w:hint="eastAsia" w:ascii="Times New Roman" w:hAnsi="Times New Roman" w:eastAsia="宋体" w:cs="Times New Roman"/>
                <w:b/>
                <w:color w:val="auto"/>
                <w:sz w:val="21"/>
                <w:szCs w:val="21"/>
                <w:lang w:val="en-US" w:eastAsia="zh-CN"/>
              </w:rPr>
              <w:t xml:space="preserve">  现有工程无组织废气监测情况表    </w:t>
            </w:r>
            <w:r>
              <w:rPr>
                <w:rFonts w:hint="eastAsia" w:ascii="Times New Roman" w:hAnsi="Times New Roman" w:eastAsia="宋体" w:cs="Times New Roman"/>
                <w:b w:val="0"/>
                <w:bCs/>
                <w:color w:val="auto"/>
                <w:sz w:val="21"/>
                <w:szCs w:val="21"/>
                <w:lang w:val="en-US" w:eastAsia="zh-CN"/>
              </w:rPr>
              <w:t>单位：mg/m</w:t>
            </w:r>
            <w:r>
              <w:rPr>
                <w:rFonts w:hint="eastAsia" w:ascii="Times New Roman" w:hAnsi="Times New Roman" w:eastAsia="宋体" w:cs="Times New Roman"/>
                <w:b w:val="0"/>
                <w:bCs/>
                <w:color w:val="auto"/>
                <w:sz w:val="21"/>
                <w:szCs w:val="21"/>
                <w:vertAlign w:val="superscript"/>
                <w:lang w:val="en-US" w:eastAsia="zh-CN"/>
              </w:rPr>
              <w:t>3</w:t>
            </w:r>
          </w:p>
          <w:p w14:paraId="517BCD4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4"/>
                <w:szCs w:val="24"/>
                <w:lang w:val="en-US" w:eastAsia="zh-CN"/>
              </w:rPr>
            </w:pPr>
            <w:r>
              <w:drawing>
                <wp:inline distT="0" distB="0" distL="114300" distR="114300">
                  <wp:extent cx="4832985" cy="2029460"/>
                  <wp:effectExtent l="9525" t="9525" r="15240" b="1841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40">
                            <a:grayscl/>
                            <a:lum contrast="36000"/>
                          </a:blip>
                          <a:stretch>
                            <a:fillRect/>
                          </a:stretch>
                        </pic:blipFill>
                        <pic:spPr>
                          <a:xfrm>
                            <a:off x="0" y="0"/>
                            <a:ext cx="4832985" cy="2029460"/>
                          </a:xfrm>
                          <a:prstGeom prst="rect">
                            <a:avLst/>
                          </a:prstGeom>
                          <a:noFill/>
                          <a:ln>
                            <a:solidFill>
                              <a:schemeClr val="tx1"/>
                            </a:solidFill>
                          </a:ln>
                        </pic:spPr>
                      </pic:pic>
                    </a:graphicData>
                  </a:graphic>
                </wp:inline>
              </w:drawing>
            </w:r>
          </w:p>
          <w:p w14:paraId="7CF3FEA9">
            <w:pPr>
              <w:adjustRightInd w:val="0"/>
              <w:jc w:val="center"/>
              <w:rPr>
                <w:rFonts w:hint="eastAsia" w:ascii="Times New Roman" w:hAnsi="Times New Roman" w:eastAsia="宋体" w:cs="Times New Roman"/>
                <w:b/>
                <w:color w:val="auto"/>
                <w:sz w:val="21"/>
                <w:szCs w:val="21"/>
                <w:lang w:val="en-US" w:eastAsia="zh-CN"/>
              </w:rPr>
            </w:pPr>
          </w:p>
          <w:p w14:paraId="6070C0DC">
            <w:pPr>
              <w:adjustRightInd w:val="0"/>
              <w:jc w:val="center"/>
              <w:rPr>
                <w:rFonts w:hint="eastAsia" w:ascii="Times New Roman" w:hAnsi="Times New Roman" w:eastAsia="宋体" w:cs="Times New Roman"/>
                <w:b/>
                <w:color w:val="auto"/>
                <w:sz w:val="21"/>
                <w:szCs w:val="21"/>
                <w:lang w:val="en-US" w:eastAsia="zh-CN"/>
              </w:rPr>
            </w:pPr>
          </w:p>
          <w:p w14:paraId="1D2D5141">
            <w:pPr>
              <w:adjustRightInd w:val="0"/>
              <w:jc w:val="center"/>
              <w:rPr>
                <w:rFonts w:hint="eastAsia" w:ascii="Times New Roman" w:hAnsi="Times New Roman" w:eastAsia="宋体" w:cs="Times New Roman"/>
                <w:b/>
                <w:color w:val="auto"/>
                <w:sz w:val="21"/>
                <w:szCs w:val="21"/>
                <w:lang w:val="en-US" w:eastAsia="zh-CN"/>
              </w:rPr>
            </w:pPr>
          </w:p>
          <w:p w14:paraId="1006A908">
            <w:pPr>
              <w:adjustRightInd w:val="0"/>
              <w:jc w:val="center"/>
              <w:rPr>
                <w:rFonts w:hint="eastAsia" w:ascii="Times New Roman" w:hAnsi="Times New Roman" w:eastAsia="宋体" w:cs="Times New Roman"/>
                <w:b/>
                <w:color w:val="auto"/>
                <w:sz w:val="21"/>
                <w:szCs w:val="21"/>
                <w:lang w:val="en-US" w:eastAsia="zh-CN"/>
              </w:rPr>
            </w:pPr>
          </w:p>
          <w:p w14:paraId="3BE5B9D3">
            <w:pPr>
              <w:adjustRightInd w:val="0"/>
              <w:jc w:val="center"/>
              <w:rPr>
                <w:rFonts w:hint="eastAsia" w:ascii="Times New Roman" w:hAnsi="Times New Roman" w:eastAsia="宋体" w:cs="Times New Roman"/>
                <w:b/>
                <w:color w:val="auto"/>
                <w:sz w:val="21"/>
                <w:szCs w:val="21"/>
                <w:lang w:val="en-US" w:eastAsia="zh-CN"/>
              </w:rPr>
            </w:pPr>
          </w:p>
          <w:p w14:paraId="3891568D">
            <w:pPr>
              <w:adjustRightInd w:val="0"/>
              <w:jc w:val="center"/>
              <w:rPr>
                <w:rFonts w:hint="eastAsia" w:ascii="Times New Roman" w:hAnsi="Times New Roman" w:eastAsia="宋体" w:cs="Times New Roman"/>
                <w:b/>
                <w:color w:val="auto"/>
                <w:sz w:val="21"/>
                <w:szCs w:val="21"/>
                <w:lang w:val="en-US" w:eastAsia="zh-CN"/>
              </w:rPr>
            </w:pPr>
          </w:p>
          <w:p w14:paraId="31F456EF">
            <w:pPr>
              <w:adjustRightInd w:val="0"/>
              <w:jc w:val="center"/>
              <w:rPr>
                <w:rFonts w:hint="default"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.10-9</w:t>
            </w:r>
            <w:r>
              <w:rPr>
                <w:rFonts w:hint="eastAsia" w:ascii="Times New Roman" w:hAnsi="Times New Roman" w:eastAsia="宋体" w:cs="Times New Roman"/>
                <w:b/>
                <w:color w:val="auto"/>
                <w:sz w:val="21"/>
                <w:szCs w:val="21"/>
                <w:lang w:val="en-US" w:eastAsia="zh-CN"/>
              </w:rPr>
              <w:t xml:space="preserve">   现有工程厂界噪声监测情况表   </w:t>
            </w:r>
            <w:r>
              <w:rPr>
                <w:rFonts w:hint="eastAsia" w:ascii="Times New Roman" w:hAnsi="Times New Roman" w:eastAsia="宋体" w:cs="Times New Roman"/>
                <w:b w:val="0"/>
                <w:bCs/>
                <w:color w:val="auto"/>
                <w:sz w:val="21"/>
                <w:szCs w:val="21"/>
                <w:lang w:val="en-US" w:eastAsia="zh-CN"/>
              </w:rPr>
              <w:t>单位：dB（A）</w:t>
            </w:r>
          </w:p>
          <w:p w14:paraId="5F03FAA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4"/>
                <w:szCs w:val="24"/>
                <w:lang w:val="en-US" w:eastAsia="zh-CN"/>
              </w:rPr>
            </w:pPr>
            <w:r>
              <w:drawing>
                <wp:inline distT="0" distB="0" distL="114300" distR="114300">
                  <wp:extent cx="4979035" cy="1442720"/>
                  <wp:effectExtent l="9525" t="9525" r="21590" b="1460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41">
                            <a:grayscl/>
                            <a:lum contrast="36000"/>
                          </a:blip>
                          <a:stretch>
                            <a:fillRect/>
                          </a:stretch>
                        </pic:blipFill>
                        <pic:spPr>
                          <a:xfrm>
                            <a:off x="0" y="0"/>
                            <a:ext cx="4979035" cy="1442720"/>
                          </a:xfrm>
                          <a:prstGeom prst="rect">
                            <a:avLst/>
                          </a:prstGeom>
                          <a:noFill/>
                          <a:ln>
                            <a:solidFill>
                              <a:schemeClr val="tx1"/>
                            </a:solidFill>
                          </a:ln>
                        </pic:spPr>
                      </pic:pic>
                    </a:graphicData>
                  </a:graphic>
                </wp:inline>
              </w:drawing>
            </w:r>
          </w:p>
          <w:p w14:paraId="46EBF8B1">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w:t>
            </w:r>
          </w:p>
          <w:p w14:paraId="51F5187A">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1、固定污染源石灰窑排气中颗粒物浓度、二氧化硫浓度、氮氧化物浓度均符合《建材工业大气污染物排放标准》(DB37/2373-2018)表2石灰制造石灰窑重点控制区中颗粒物排放限值10mg/m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、二氧化硫排放限直50mg/m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、氮氧化物排放限值100mg/m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要求;汞及其化合物浓度、烟气黑度均符合《工业炉窑大气污染物排放标准》(GB9078-1996)表4中汞及其化合物排放限值0.01mg/m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烟气黑度限值≤1级的要求。固定污染源成品石灰筛分、上料系统、石灰成品仓1、石灰成品仓2、原料筛分排气中颗粒物浓度均符合《建材工业大气污染物排放标准》(DB37/2373-2018)表2石灰制造石灰窑重点控制区中颗粒物排放限值10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要求。</w:t>
            </w:r>
          </w:p>
          <w:p w14:paraId="2518C73C">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2、厂界无组织排放颗粒物浓度(最高值)符合《大气污染物综合排放标准》(GB16297-1996)表2中颗粒物排放限值1.0mg/m要求。</w:t>
            </w:r>
          </w:p>
          <w:p w14:paraId="32E9221A">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3、厂界噪声：厂界4个监测点昼间、夜间监测结果均符合(工业企业厂界环境噪声排放标准》(GB12348-2008)表1中2类，昼间60dB(A)，夜间50dB(A)限值要求。</w:t>
            </w:r>
          </w:p>
          <w:p w14:paraId="28C7FB50">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根据排污许可网站（https://permit.mee.gov.cn/）公开的长治市</w:t>
            </w:r>
            <w:r>
              <w:rPr>
                <w:rFonts w:hint="eastAsia" w:ascii="Times New Roman" w:hAnsi="Times New Roman" w:eastAsia="宋体" w:cs="Times New Roman"/>
                <w:color w:val="auto"/>
                <w:sz w:val="24"/>
                <w:szCs w:val="24"/>
                <w:lang w:eastAsia="zh-CN"/>
              </w:rPr>
              <w:t>瑞兴冶金熔剂有限公司</w:t>
            </w:r>
            <w:r>
              <w:rPr>
                <w:rFonts w:hint="eastAsia" w:ascii="Times New Roman" w:hAnsi="Times New Roman" w:eastAsia="宋体" w:cs="Times New Roman"/>
                <w:color w:val="auto"/>
                <w:sz w:val="24"/>
                <w:szCs w:val="24"/>
                <w:lang w:val="en-US" w:eastAsia="zh-CN"/>
              </w:rPr>
              <w:t>2023年度排污许可执行报告，现有工程年排放量如下：</w:t>
            </w:r>
          </w:p>
          <w:p w14:paraId="1DEA256A">
            <w:pPr>
              <w:adjustRightInd w:val="0"/>
              <w:jc w:val="center"/>
              <w:rPr>
                <w:rFonts w:hint="eastAsia" w:ascii="Times New Roman" w:hAnsi="Times New Roman" w:eastAsia="宋体" w:cs="Times New Roman"/>
                <w:b/>
                <w:color w:val="auto"/>
                <w:sz w:val="21"/>
                <w:szCs w:val="21"/>
                <w:lang w:val="en-US" w:eastAsia="zh-CN"/>
              </w:rPr>
            </w:pPr>
          </w:p>
          <w:p w14:paraId="298B3E75">
            <w:pPr>
              <w:adjustRightInd w:val="0"/>
              <w:jc w:val="center"/>
              <w:rPr>
                <w:rFonts w:hint="eastAsia" w:ascii="Times New Roman" w:hAnsi="Times New Roman" w:eastAsia="宋体" w:cs="Times New Roman"/>
                <w:b/>
                <w:color w:val="auto"/>
                <w:sz w:val="21"/>
                <w:szCs w:val="21"/>
                <w:lang w:val="en-US" w:eastAsia="zh-CN"/>
              </w:rPr>
            </w:pPr>
          </w:p>
          <w:p w14:paraId="0072A7D3">
            <w:pPr>
              <w:adjustRightInd w:val="0"/>
              <w:jc w:val="center"/>
              <w:rPr>
                <w:rFonts w:hint="eastAsia" w:ascii="Times New Roman" w:hAnsi="Times New Roman" w:eastAsia="宋体" w:cs="Times New Roman"/>
                <w:b/>
                <w:color w:val="auto"/>
                <w:sz w:val="21"/>
                <w:szCs w:val="21"/>
                <w:lang w:val="en-US" w:eastAsia="zh-CN"/>
              </w:rPr>
            </w:pPr>
          </w:p>
          <w:p w14:paraId="3BD685F5">
            <w:pPr>
              <w:adjustRightInd w:val="0"/>
              <w:jc w:val="center"/>
              <w:rPr>
                <w:rFonts w:hint="eastAsia" w:ascii="Times New Roman" w:hAnsi="Times New Roman" w:eastAsia="宋体" w:cs="Times New Roman"/>
                <w:b/>
                <w:color w:val="auto"/>
                <w:sz w:val="21"/>
                <w:szCs w:val="21"/>
                <w:lang w:val="en-US" w:eastAsia="zh-CN"/>
              </w:rPr>
            </w:pPr>
          </w:p>
          <w:p w14:paraId="35310230">
            <w:pPr>
              <w:adjustRightInd w:val="0"/>
              <w:jc w:val="center"/>
              <w:rPr>
                <w:rFonts w:hint="eastAsia" w:ascii="Times New Roman" w:hAnsi="Times New Roman" w:eastAsia="宋体" w:cs="Times New Roman"/>
                <w:b/>
                <w:color w:val="auto"/>
                <w:sz w:val="21"/>
                <w:szCs w:val="21"/>
                <w:lang w:val="en-US" w:eastAsia="zh-CN"/>
              </w:rPr>
            </w:pPr>
          </w:p>
          <w:p w14:paraId="3B5CFF52">
            <w:pPr>
              <w:adjustRightInd w:val="0"/>
              <w:jc w:val="center"/>
              <w:rPr>
                <w:rFonts w:hint="eastAsia" w:ascii="Times New Roman" w:hAnsi="Times New Roman" w:eastAsia="宋体" w:cs="Times New Roman"/>
                <w:b/>
                <w:color w:val="auto"/>
                <w:sz w:val="21"/>
                <w:szCs w:val="21"/>
                <w:lang w:val="en-US" w:eastAsia="zh-CN"/>
              </w:rPr>
            </w:pPr>
          </w:p>
          <w:p w14:paraId="03D46028">
            <w:pPr>
              <w:adjustRightInd w:val="0"/>
              <w:jc w:val="center"/>
              <w:rPr>
                <w:rFonts w:hint="eastAsia" w:ascii="Times New Roman" w:hAnsi="Times New Roman" w:eastAsia="宋体" w:cs="Times New Roman"/>
                <w:b/>
                <w:color w:val="auto"/>
                <w:sz w:val="21"/>
                <w:szCs w:val="21"/>
                <w:lang w:val="en-US" w:eastAsia="zh-CN"/>
              </w:rPr>
            </w:pPr>
          </w:p>
          <w:p w14:paraId="41CDD86F">
            <w:pPr>
              <w:adjustRightInd w:val="0"/>
              <w:jc w:val="center"/>
              <w:rPr>
                <w:rFonts w:hint="eastAsia" w:ascii="Times New Roman" w:hAnsi="Times New Roman" w:eastAsia="宋体" w:cs="Times New Roman"/>
                <w:b/>
                <w:color w:val="auto"/>
                <w:sz w:val="21"/>
                <w:szCs w:val="21"/>
                <w:lang w:val="en-US" w:eastAsia="zh-CN"/>
              </w:rPr>
            </w:pPr>
          </w:p>
          <w:p w14:paraId="57923B75">
            <w:pPr>
              <w:adjustRightInd w:val="0"/>
              <w:jc w:val="center"/>
              <w:rPr>
                <w:rFonts w:hint="eastAsia" w:ascii="Times New Roman" w:hAnsi="Times New Roman" w:eastAsia="宋体" w:cs="Times New Roman"/>
                <w:b/>
                <w:color w:val="auto"/>
                <w:sz w:val="21"/>
                <w:szCs w:val="21"/>
                <w:lang w:val="en-US" w:eastAsia="zh-CN"/>
              </w:rPr>
            </w:pPr>
          </w:p>
          <w:p w14:paraId="52985B50">
            <w:pPr>
              <w:adjustRightInd w:val="0"/>
              <w:jc w:val="center"/>
              <w:rPr>
                <w:rFonts w:hint="eastAsia" w:ascii="Times New Roman" w:hAnsi="Times New Roman" w:eastAsia="宋体" w:cs="Times New Roman"/>
                <w:b/>
                <w:color w:val="auto"/>
                <w:sz w:val="21"/>
                <w:szCs w:val="21"/>
                <w:lang w:val="en-US" w:eastAsia="zh-CN"/>
              </w:rPr>
            </w:pPr>
          </w:p>
          <w:p w14:paraId="2355C1F5">
            <w:pPr>
              <w:adjustRightInd w:val="0"/>
              <w:jc w:val="center"/>
              <w:rPr>
                <w:rFonts w:hint="eastAsia" w:ascii="Times New Roman" w:hAnsi="Times New Roman" w:eastAsia="宋体" w:cs="Times New Roman"/>
                <w:b/>
                <w:color w:val="auto"/>
                <w:sz w:val="21"/>
                <w:szCs w:val="21"/>
                <w:lang w:val="en-US" w:eastAsia="zh-CN"/>
              </w:rPr>
            </w:pPr>
          </w:p>
          <w:p w14:paraId="65EAAC1F">
            <w:pPr>
              <w:adjustRightInd w:val="0"/>
              <w:jc w:val="center"/>
              <w:rPr>
                <w:rFonts w:hint="eastAsia" w:ascii="Times New Roman" w:hAnsi="Times New Roman" w:eastAsia="宋体" w:cs="Times New Roman"/>
                <w:b/>
                <w:color w:val="auto"/>
                <w:sz w:val="21"/>
                <w:szCs w:val="21"/>
                <w:lang w:val="en-US" w:eastAsia="zh-CN"/>
              </w:rPr>
            </w:pPr>
          </w:p>
          <w:p w14:paraId="30FDD42C">
            <w:pPr>
              <w:adjustRightInd w:val="0"/>
              <w:jc w:val="center"/>
              <w:rPr>
                <w:rFonts w:hint="eastAsia" w:ascii="Times New Roman" w:hAnsi="Times New Roman" w:eastAsia="宋体" w:cs="Times New Roman"/>
                <w:b/>
                <w:color w:val="auto"/>
                <w:sz w:val="21"/>
                <w:szCs w:val="21"/>
                <w:lang w:val="en-US" w:eastAsia="zh-CN"/>
              </w:rPr>
            </w:pPr>
          </w:p>
          <w:p w14:paraId="48C5E77F">
            <w:pPr>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w:t>
            </w:r>
            <w:r>
              <w:rPr>
                <w:rFonts w:hint="default" w:ascii="Times New Roman" w:hAnsi="Times New Roman" w:eastAsia="宋体" w:cs="Times New Roman"/>
                <w:b/>
                <w:bCs/>
                <w:color w:val="auto"/>
                <w:sz w:val="21"/>
                <w:szCs w:val="21"/>
                <w:lang w:val="en-US" w:eastAsia="zh-CN"/>
              </w:rPr>
              <w:t>2</w:t>
            </w:r>
            <w:r>
              <w:rPr>
                <w:rFonts w:hint="eastAsia" w:ascii="Times New Roman" w:hAnsi="Times New Roman" w:eastAsia="宋体" w:cs="Times New Roman"/>
                <w:b/>
                <w:bCs/>
                <w:color w:val="auto"/>
                <w:sz w:val="21"/>
                <w:szCs w:val="21"/>
                <w:lang w:val="en-US" w:eastAsia="zh-CN"/>
              </w:rPr>
              <w:t>.10-10</w:t>
            </w:r>
            <w:r>
              <w:rPr>
                <w:rFonts w:hint="eastAsia" w:ascii="Times New Roman" w:hAnsi="Times New Roman" w:eastAsia="宋体" w:cs="Times New Roman"/>
                <w:b/>
                <w:color w:val="auto"/>
                <w:sz w:val="21"/>
                <w:szCs w:val="21"/>
                <w:lang w:val="en-US" w:eastAsia="zh-CN"/>
              </w:rPr>
              <w:t xml:space="preserve">   现有工程废气污染物年排放量情况表</w:t>
            </w:r>
          </w:p>
          <w:p w14:paraId="12BB078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4"/>
                <w:szCs w:val="24"/>
                <w:lang w:val="en-US" w:eastAsia="zh-CN"/>
              </w:rPr>
            </w:pPr>
            <w:r>
              <w:drawing>
                <wp:inline distT="0" distB="0" distL="114300" distR="114300">
                  <wp:extent cx="5036820" cy="1950720"/>
                  <wp:effectExtent l="9525" t="9525" r="20955" b="20955"/>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42">
                            <a:grayscl/>
                            <a:lum bright="6000" contrast="-6000"/>
                          </a:blip>
                          <a:stretch>
                            <a:fillRect/>
                          </a:stretch>
                        </pic:blipFill>
                        <pic:spPr>
                          <a:xfrm>
                            <a:off x="0" y="0"/>
                            <a:ext cx="5036820" cy="1950720"/>
                          </a:xfrm>
                          <a:prstGeom prst="rect">
                            <a:avLst/>
                          </a:prstGeom>
                          <a:noFill/>
                          <a:ln>
                            <a:solidFill>
                              <a:schemeClr val="tx1"/>
                            </a:solidFill>
                          </a:ln>
                        </pic:spPr>
                      </pic:pic>
                    </a:graphicData>
                  </a:graphic>
                </wp:inline>
              </w:drawing>
            </w:r>
          </w:p>
          <w:p w14:paraId="1CAAE623">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由以上分析可知，企业现有工程履行了自行监测制度，废气污染物可达标排放且满足许可排放量要求。</w:t>
            </w:r>
          </w:p>
          <w:p w14:paraId="2841CB4B">
            <w:pPr>
              <w:spacing w:line="360" w:lineRule="auto"/>
              <w:ind w:firstLine="482"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2.11 现有工程存在的问题及整改措施</w:t>
            </w:r>
          </w:p>
          <w:p w14:paraId="5B15C750">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（1）现有工程存在的问题</w:t>
            </w:r>
          </w:p>
          <w:p w14:paraId="558769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未设置初期雨水池</w:t>
            </w:r>
          </w:p>
          <w:p w14:paraId="6724A92B">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（2）整改措施</w:t>
            </w:r>
          </w:p>
          <w:p w14:paraId="4D7DF5A8">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设置1座200m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初期雨水池</w:t>
            </w:r>
          </w:p>
          <w:p w14:paraId="03563100">
            <w:pPr>
              <w:spacing w:line="360" w:lineRule="auto"/>
              <w:ind w:firstLine="480" w:firstLineChars="200"/>
              <w:jc w:val="both"/>
              <w:rPr>
                <w:rFonts w:hint="eastAsia" w:ascii="Times New Roman" w:hAnsi="Times New Roman" w:eastAsia="宋体" w:cs="Times New Roman"/>
                <w:color w:val="auto"/>
                <w:sz w:val="24"/>
                <w:szCs w:val="24"/>
                <w:lang w:val="en-US" w:eastAsia="zh-CN"/>
              </w:rPr>
            </w:pPr>
          </w:p>
          <w:p w14:paraId="2E5B67C1">
            <w:pPr>
              <w:spacing w:line="360" w:lineRule="auto"/>
              <w:jc w:val="both"/>
              <w:rPr>
                <w:rFonts w:hint="eastAsia" w:ascii="Times New Roman" w:hAnsi="Times New Roman" w:cs="Times New Roman" w:eastAsiaTheme="minorEastAsia"/>
                <w:color w:val="auto"/>
                <w:sz w:val="24"/>
                <w:szCs w:val="24"/>
                <w:lang w:eastAsia="zh-CN"/>
              </w:rPr>
            </w:pPr>
          </w:p>
          <w:p w14:paraId="23474CB4">
            <w:pPr>
              <w:spacing w:line="360" w:lineRule="auto"/>
              <w:jc w:val="both"/>
              <w:rPr>
                <w:rFonts w:hint="eastAsia" w:ascii="Times New Roman" w:hAnsi="Times New Roman" w:cs="Times New Roman" w:eastAsiaTheme="minorEastAsia"/>
                <w:color w:val="auto"/>
                <w:sz w:val="24"/>
                <w:szCs w:val="24"/>
                <w:lang w:eastAsia="zh-CN"/>
              </w:rPr>
            </w:pPr>
          </w:p>
          <w:p w14:paraId="61EAD703">
            <w:pPr>
              <w:spacing w:line="360" w:lineRule="auto"/>
              <w:jc w:val="both"/>
              <w:rPr>
                <w:rFonts w:hint="eastAsia" w:ascii="Times New Roman" w:hAnsi="Times New Roman" w:cs="Times New Roman" w:eastAsiaTheme="minorEastAsia"/>
                <w:color w:val="auto"/>
                <w:sz w:val="24"/>
                <w:szCs w:val="24"/>
                <w:lang w:eastAsia="zh-CN"/>
              </w:rPr>
            </w:pPr>
          </w:p>
          <w:p w14:paraId="03977B55">
            <w:pPr>
              <w:spacing w:line="360" w:lineRule="auto"/>
              <w:jc w:val="both"/>
              <w:rPr>
                <w:rFonts w:hint="eastAsia" w:ascii="Times New Roman" w:hAnsi="Times New Roman" w:cs="Times New Roman" w:eastAsiaTheme="minorEastAsia"/>
                <w:color w:val="auto"/>
                <w:sz w:val="24"/>
                <w:szCs w:val="24"/>
                <w:lang w:eastAsia="zh-CN"/>
              </w:rPr>
            </w:pPr>
          </w:p>
          <w:p w14:paraId="05154AAF">
            <w:pPr>
              <w:spacing w:line="360" w:lineRule="auto"/>
              <w:jc w:val="both"/>
              <w:rPr>
                <w:rFonts w:hint="eastAsia" w:ascii="Times New Roman" w:hAnsi="Times New Roman" w:cs="Times New Roman" w:eastAsiaTheme="minorEastAsia"/>
                <w:color w:val="auto"/>
                <w:sz w:val="24"/>
                <w:szCs w:val="24"/>
                <w:lang w:eastAsia="zh-CN"/>
              </w:rPr>
            </w:pPr>
          </w:p>
          <w:p w14:paraId="47A92F4E">
            <w:pPr>
              <w:spacing w:line="360" w:lineRule="auto"/>
              <w:jc w:val="both"/>
              <w:rPr>
                <w:rFonts w:hint="eastAsia" w:ascii="Times New Roman" w:hAnsi="Times New Roman" w:cs="Times New Roman" w:eastAsiaTheme="minorEastAsia"/>
                <w:color w:val="auto"/>
                <w:sz w:val="24"/>
                <w:szCs w:val="24"/>
                <w:lang w:eastAsia="zh-CN"/>
              </w:rPr>
            </w:pPr>
          </w:p>
          <w:p w14:paraId="470FB0A7">
            <w:pPr>
              <w:spacing w:line="360" w:lineRule="auto"/>
              <w:jc w:val="both"/>
              <w:rPr>
                <w:rFonts w:hint="eastAsia" w:ascii="Times New Roman" w:hAnsi="Times New Roman" w:cs="Times New Roman" w:eastAsiaTheme="minorEastAsia"/>
                <w:color w:val="auto"/>
                <w:sz w:val="24"/>
                <w:szCs w:val="24"/>
                <w:lang w:eastAsia="zh-CN"/>
              </w:rPr>
            </w:pPr>
          </w:p>
          <w:p w14:paraId="6639DFD3">
            <w:pPr>
              <w:spacing w:line="360" w:lineRule="auto"/>
              <w:jc w:val="both"/>
              <w:rPr>
                <w:rFonts w:hint="eastAsia" w:ascii="Times New Roman" w:hAnsi="Times New Roman" w:cs="Times New Roman" w:eastAsiaTheme="minorEastAsia"/>
                <w:color w:val="auto"/>
                <w:sz w:val="24"/>
                <w:szCs w:val="24"/>
                <w:lang w:eastAsia="zh-CN"/>
              </w:rPr>
            </w:pPr>
          </w:p>
          <w:p w14:paraId="3E6CF498">
            <w:pPr>
              <w:spacing w:line="360" w:lineRule="auto"/>
              <w:jc w:val="both"/>
              <w:rPr>
                <w:rFonts w:hint="eastAsia" w:ascii="Times New Roman" w:hAnsi="Times New Roman" w:cs="Times New Roman" w:eastAsiaTheme="minorEastAsia"/>
                <w:color w:val="auto"/>
                <w:sz w:val="24"/>
                <w:szCs w:val="24"/>
                <w:lang w:eastAsia="zh-CN"/>
              </w:rPr>
            </w:pPr>
          </w:p>
          <w:p w14:paraId="7545A25B">
            <w:pPr>
              <w:spacing w:line="360" w:lineRule="auto"/>
              <w:jc w:val="both"/>
              <w:rPr>
                <w:rFonts w:hint="eastAsia" w:ascii="Times New Roman" w:hAnsi="Times New Roman" w:cs="Times New Roman" w:eastAsiaTheme="minorEastAsia"/>
                <w:color w:val="auto"/>
                <w:sz w:val="24"/>
                <w:szCs w:val="24"/>
                <w:lang w:eastAsia="zh-CN"/>
              </w:rPr>
            </w:pPr>
          </w:p>
          <w:p w14:paraId="1A1E37DD">
            <w:pPr>
              <w:spacing w:line="360" w:lineRule="auto"/>
              <w:jc w:val="both"/>
              <w:rPr>
                <w:rFonts w:hint="eastAsia" w:ascii="Times New Roman" w:hAnsi="Times New Roman" w:cs="Times New Roman" w:eastAsiaTheme="minorEastAsia"/>
                <w:color w:val="auto"/>
                <w:sz w:val="24"/>
                <w:szCs w:val="24"/>
                <w:lang w:eastAsia="zh-CN"/>
              </w:rPr>
            </w:pPr>
          </w:p>
          <w:p w14:paraId="157E8EDD">
            <w:pPr>
              <w:spacing w:line="360" w:lineRule="auto"/>
              <w:jc w:val="both"/>
              <w:rPr>
                <w:rFonts w:hint="eastAsia" w:ascii="Times New Roman" w:hAnsi="Times New Roman" w:cs="Times New Roman" w:eastAsiaTheme="minorEastAsia"/>
                <w:color w:val="auto"/>
                <w:sz w:val="24"/>
                <w:szCs w:val="24"/>
                <w:lang w:eastAsia="zh-CN"/>
              </w:rPr>
            </w:pPr>
          </w:p>
          <w:p w14:paraId="04D0AE6E">
            <w:pPr>
              <w:spacing w:line="360" w:lineRule="auto"/>
              <w:jc w:val="both"/>
              <w:rPr>
                <w:rFonts w:hint="eastAsia" w:ascii="Times New Roman" w:hAnsi="Times New Roman" w:cs="Times New Roman" w:eastAsiaTheme="minorEastAsia"/>
                <w:color w:val="auto"/>
                <w:sz w:val="24"/>
                <w:szCs w:val="24"/>
                <w:lang w:eastAsia="zh-CN"/>
              </w:rPr>
            </w:pPr>
          </w:p>
          <w:p w14:paraId="3D00BACF">
            <w:pPr>
              <w:spacing w:line="360" w:lineRule="auto"/>
              <w:jc w:val="both"/>
              <w:rPr>
                <w:rFonts w:hint="eastAsia" w:ascii="Times New Roman" w:hAnsi="Times New Roman" w:cs="Times New Roman" w:eastAsiaTheme="minorEastAsia"/>
                <w:color w:val="auto"/>
                <w:sz w:val="24"/>
                <w:szCs w:val="24"/>
                <w:lang w:eastAsia="zh-CN"/>
              </w:rPr>
            </w:pPr>
          </w:p>
          <w:p w14:paraId="152CD9A1">
            <w:pPr>
              <w:spacing w:line="360" w:lineRule="auto"/>
              <w:jc w:val="both"/>
              <w:rPr>
                <w:rFonts w:hint="eastAsia" w:ascii="Times New Roman" w:hAnsi="Times New Roman" w:cs="Times New Roman" w:eastAsiaTheme="minorEastAsia"/>
                <w:color w:val="auto"/>
                <w:sz w:val="24"/>
                <w:szCs w:val="24"/>
                <w:lang w:eastAsia="zh-CN"/>
              </w:rPr>
            </w:pPr>
          </w:p>
          <w:p w14:paraId="470679E8">
            <w:pPr>
              <w:spacing w:line="360" w:lineRule="auto"/>
              <w:jc w:val="both"/>
              <w:rPr>
                <w:rFonts w:ascii="Times New Roman" w:hAnsi="Times New Roman" w:cs="Times New Roman" w:eastAsiaTheme="minorEastAsia"/>
                <w:color w:val="auto"/>
                <w:sz w:val="24"/>
                <w:szCs w:val="24"/>
                <w:lang w:eastAsia="zh-CN"/>
              </w:rPr>
            </w:pPr>
          </w:p>
        </w:tc>
      </w:tr>
    </w:tbl>
    <w:p w14:paraId="6768B0D6">
      <w:pPr>
        <w:rPr>
          <w:rFonts w:ascii="Times New Roman" w:hAnsi="Times New Roman" w:eastAsia="宋体" w:cs="Times New Roman"/>
          <w:color w:val="auto"/>
          <w:lang w:eastAsia="zh-CN"/>
        </w:rPr>
        <w:sectPr>
          <w:pgSz w:w="11910" w:h="16840"/>
          <w:pgMar w:top="1580" w:right="1300" w:bottom="1240" w:left="1300" w:header="0" w:footer="680" w:gutter="0"/>
          <w:pgBorders>
            <w:top w:val="none" w:sz="0" w:space="0"/>
            <w:left w:val="none" w:sz="0" w:space="0"/>
            <w:bottom w:val="none" w:sz="0" w:space="0"/>
            <w:right w:val="none" w:sz="0" w:space="0"/>
          </w:pgBorders>
          <w:cols w:space="720" w:num="1"/>
          <w:docGrid w:linePitch="299" w:charSpace="0"/>
        </w:sectPr>
      </w:pPr>
    </w:p>
    <w:p w14:paraId="2FF4EB7E">
      <w:pPr>
        <w:pStyle w:val="16"/>
        <w:spacing w:before="0" w:line="360" w:lineRule="auto"/>
        <w:ind w:left="0"/>
        <w:jc w:val="center"/>
        <w:outlineLvl w:val="0"/>
        <w:rPr>
          <w:rFonts w:ascii="Times New Roman" w:hAnsi="Times New Roman" w:eastAsia="宋体" w:cs="Times New Roman"/>
          <w:color w:val="auto"/>
          <w:lang w:eastAsia="zh-CN"/>
        </w:rPr>
      </w:pPr>
      <w:bookmarkStart w:id="15" w:name="四、主要环境影响和保护措施"/>
      <w:bookmarkEnd w:id="15"/>
      <w:bookmarkStart w:id="16" w:name="_Toc22797"/>
      <w:r>
        <w:rPr>
          <w:rFonts w:hint="eastAsia" w:ascii="Times New Roman" w:hAnsi="Times New Roman" w:eastAsia="宋体" w:cs="Times New Roman"/>
          <w:color w:val="auto"/>
          <w:lang w:eastAsia="zh-CN"/>
        </w:rPr>
        <w:t>三</w:t>
      </w:r>
      <w:r>
        <w:rPr>
          <w:rFonts w:ascii="Times New Roman" w:hAnsi="Times New Roman" w:eastAsia="宋体" w:cs="Times New Roman"/>
          <w:color w:val="auto"/>
          <w:lang w:eastAsia="zh-CN"/>
        </w:rPr>
        <w:t>、区域环境质量现状、环境保护目标及评价标准</w:t>
      </w:r>
      <w:bookmarkEnd w:id="16"/>
    </w:p>
    <w:tbl>
      <w:tblPr>
        <w:tblStyle w:val="32"/>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85"/>
        <w:gridCol w:w="8386"/>
      </w:tblGrid>
      <w:tr w14:paraId="77430C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74" w:hRule="atLeast"/>
          <w:jc w:val="center"/>
        </w:trPr>
        <w:tc>
          <w:tcPr>
            <w:tcW w:w="685" w:type="dxa"/>
            <w:tcBorders>
              <w:tl2br w:val="nil"/>
              <w:tr2bl w:val="nil"/>
            </w:tcBorders>
            <w:vAlign w:val="center"/>
          </w:tcPr>
          <w:p w14:paraId="27D50A78">
            <w:pPr>
              <w:pStyle w:val="42"/>
              <w:spacing w:line="237" w:lineRule="auto"/>
              <w:ind w:left="98" w:right="101"/>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环境质量现状</w:t>
            </w:r>
          </w:p>
        </w:tc>
        <w:tc>
          <w:tcPr>
            <w:tcW w:w="8386" w:type="dxa"/>
            <w:tcBorders>
              <w:tl2br w:val="nil"/>
              <w:tr2bl w:val="nil"/>
            </w:tcBorders>
            <w:vAlign w:val="center"/>
          </w:tcPr>
          <w:p w14:paraId="3AC1B55E">
            <w:pPr>
              <w:spacing w:line="360" w:lineRule="auto"/>
              <w:ind w:firstLine="482"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3.1 大气环境 </w:t>
            </w:r>
          </w:p>
          <w:p w14:paraId="1804829C">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（1）例行监测数据</w:t>
            </w:r>
          </w:p>
          <w:p w14:paraId="5650E56C">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本次评价收集了</w:t>
            </w:r>
            <w:r>
              <w:rPr>
                <w:rFonts w:hint="eastAsia" w:ascii="Times New Roman" w:hAnsi="Times New Roman" w:eastAsia="宋体" w:cs="Times New Roman"/>
                <w:color w:val="auto"/>
                <w:sz w:val="24"/>
                <w:szCs w:val="24"/>
                <w:lang w:eastAsia="zh-CN"/>
              </w:rPr>
              <w:t>长治市潞城区2023年</w:t>
            </w:r>
            <w:r>
              <w:rPr>
                <w:rFonts w:ascii="Times New Roman" w:hAnsi="Times New Roman" w:eastAsia="宋体" w:cs="Times New Roman"/>
                <w:color w:val="auto"/>
                <w:sz w:val="24"/>
                <w:szCs w:val="24"/>
                <w:lang w:eastAsia="zh-CN"/>
              </w:rPr>
              <w:t>全年环境空气质量现状监测数据统计来反映区域环境质量状况。监测项目为PM</w:t>
            </w:r>
            <w:r>
              <w:rPr>
                <w:rFonts w:ascii="Times New Roman" w:hAnsi="Times New Roman" w:eastAsia="宋体" w:cs="Times New Roman"/>
                <w:color w:val="auto"/>
                <w:sz w:val="24"/>
                <w:szCs w:val="24"/>
                <w:vertAlign w:val="subscript"/>
                <w:lang w:eastAsia="zh-CN"/>
              </w:rPr>
              <w:t>2.5</w:t>
            </w:r>
            <w:r>
              <w:rPr>
                <w:rFonts w:ascii="Times New Roman" w:hAnsi="Times New Roman" w:eastAsia="宋体" w:cs="Times New Roman"/>
                <w:color w:val="auto"/>
                <w:sz w:val="24"/>
                <w:szCs w:val="24"/>
                <w:lang w:eastAsia="zh-CN"/>
              </w:rPr>
              <w:t>、O</w:t>
            </w:r>
            <w:r>
              <w:rPr>
                <w:rFonts w:ascii="Times New Roman" w:hAnsi="Times New Roman" w:eastAsia="宋体" w:cs="Times New Roman"/>
                <w:color w:val="auto"/>
                <w:sz w:val="24"/>
                <w:szCs w:val="24"/>
                <w:vertAlign w:val="subscript"/>
                <w:lang w:eastAsia="zh-CN"/>
              </w:rPr>
              <w:t>3</w:t>
            </w:r>
            <w:r>
              <w:rPr>
                <w:rFonts w:ascii="Times New Roman" w:hAnsi="Times New Roman" w:eastAsia="宋体" w:cs="Times New Roman"/>
                <w:color w:val="auto"/>
                <w:sz w:val="24"/>
                <w:szCs w:val="24"/>
                <w:lang w:eastAsia="zh-CN"/>
              </w:rPr>
              <w:t>、CO、PM</w:t>
            </w:r>
            <w:r>
              <w:rPr>
                <w:rFonts w:ascii="Times New Roman" w:hAnsi="Times New Roman" w:eastAsia="宋体" w:cs="Times New Roman"/>
                <w:color w:val="auto"/>
                <w:sz w:val="24"/>
                <w:szCs w:val="24"/>
                <w:vertAlign w:val="subscript"/>
                <w:lang w:eastAsia="zh-CN"/>
              </w:rPr>
              <w:t>10</w:t>
            </w:r>
            <w:r>
              <w:rPr>
                <w:rFonts w:ascii="Times New Roman" w:hAnsi="Times New Roman" w:eastAsia="宋体" w:cs="Times New Roman"/>
                <w:color w:val="auto"/>
                <w:sz w:val="24"/>
                <w:szCs w:val="24"/>
                <w:lang w:eastAsia="zh-CN"/>
              </w:rPr>
              <w:t>、NO</w:t>
            </w:r>
            <w:r>
              <w:rPr>
                <w:rFonts w:ascii="Times New Roman" w:hAnsi="Times New Roman" w:eastAsia="宋体" w:cs="Times New Roman"/>
                <w:color w:val="auto"/>
                <w:sz w:val="24"/>
                <w:szCs w:val="24"/>
                <w:vertAlign w:val="subscript"/>
                <w:lang w:eastAsia="zh-CN"/>
              </w:rPr>
              <w:t>2</w:t>
            </w:r>
            <w:r>
              <w:rPr>
                <w:rFonts w:ascii="Times New Roman" w:hAnsi="Times New Roman" w:eastAsia="宋体" w:cs="Times New Roman"/>
                <w:color w:val="auto"/>
                <w:sz w:val="24"/>
                <w:szCs w:val="24"/>
                <w:lang w:eastAsia="zh-CN"/>
              </w:rPr>
              <w:t>、SO</w:t>
            </w:r>
            <w:r>
              <w:rPr>
                <w:rFonts w:ascii="Times New Roman" w:hAnsi="Times New Roman" w:eastAsia="宋体" w:cs="Times New Roman"/>
                <w:color w:val="auto"/>
                <w:sz w:val="24"/>
                <w:szCs w:val="24"/>
                <w:vertAlign w:val="subscript"/>
                <w:lang w:eastAsia="zh-CN"/>
              </w:rPr>
              <w:t>2</w:t>
            </w:r>
            <w:r>
              <w:rPr>
                <w:rFonts w:ascii="Times New Roman" w:hAnsi="Times New Roman" w:eastAsia="宋体" w:cs="Times New Roman"/>
                <w:color w:val="auto"/>
                <w:sz w:val="24"/>
                <w:szCs w:val="24"/>
                <w:lang w:eastAsia="zh-CN"/>
              </w:rPr>
              <w:t>，标准选用《环境空气质量标准》（GB3095-2012）中二级标准。质量情况见下表。</w:t>
            </w:r>
          </w:p>
          <w:p w14:paraId="74C2CA62">
            <w:pPr>
              <w:keepNext w:val="0"/>
              <w:keepLines w:val="0"/>
              <w:widowControl/>
              <w:suppressLineNumbers w:val="0"/>
              <w:jc w:val="center"/>
            </w:pPr>
            <w:r>
              <w:rPr>
                <w:rFonts w:hint="eastAsia" w:ascii="Times New Roman" w:hAnsi="Times New Roman" w:eastAsia="宋体" w:cs="Times New Roman"/>
                <w:b/>
                <w:bCs/>
                <w:color w:val="auto"/>
                <w:sz w:val="21"/>
                <w:szCs w:val="21"/>
                <w:lang w:val="en-US" w:eastAsia="zh-CN"/>
              </w:rPr>
              <w:t xml:space="preserve">表 </w:t>
            </w:r>
            <w:r>
              <w:rPr>
                <w:rFonts w:ascii="Times New Roman" w:hAnsi="Times New Roman" w:eastAsia="宋体" w:cs="Times New Roman"/>
                <w:b/>
                <w:bCs/>
                <w:color w:val="auto"/>
                <w:sz w:val="21"/>
                <w:szCs w:val="21"/>
                <w:lang w:val="en-US" w:eastAsia="zh-CN"/>
              </w:rPr>
              <w:t xml:space="preserve">3.1-1 </w:t>
            </w:r>
            <w:r>
              <w:rPr>
                <w:rFonts w:hint="eastAsia" w:ascii="Times New Roman" w:hAnsi="Times New Roman" w:eastAsia="宋体" w:cs="Times New Roman"/>
                <w:b/>
                <w:bCs/>
                <w:color w:val="auto"/>
                <w:sz w:val="21"/>
                <w:szCs w:val="21"/>
                <w:lang w:val="en-US" w:eastAsia="zh-CN"/>
              </w:rPr>
              <w:t xml:space="preserve">  2023年长治市潞城区环境空气质量现状评价表</w:t>
            </w:r>
          </w:p>
          <w:tbl>
            <w:tblPr>
              <w:tblStyle w:val="32"/>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9"/>
              <w:gridCol w:w="2262"/>
              <w:gridCol w:w="1429"/>
              <w:gridCol w:w="1237"/>
              <w:gridCol w:w="1154"/>
              <w:gridCol w:w="1270"/>
            </w:tblGrid>
            <w:tr w14:paraId="70020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364576E5">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污染物</w:t>
                  </w:r>
                </w:p>
              </w:tc>
              <w:tc>
                <w:tcPr>
                  <w:tcW w:w="2263" w:type="dxa"/>
                  <w:tcMar>
                    <w:top w:w="15" w:type="dxa"/>
                    <w:left w:w="15" w:type="dxa"/>
                    <w:bottom w:w="0" w:type="dxa"/>
                    <w:right w:w="15" w:type="dxa"/>
                  </w:tcMar>
                  <w:vAlign w:val="center"/>
                </w:tcPr>
                <w:p w14:paraId="7ACBBCC0">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 xml:space="preserve">年评价指标 </w:t>
                  </w:r>
                </w:p>
              </w:tc>
              <w:tc>
                <w:tcPr>
                  <w:tcW w:w="1429" w:type="dxa"/>
                  <w:tcMar>
                    <w:top w:w="15" w:type="dxa"/>
                    <w:left w:w="15" w:type="dxa"/>
                    <w:bottom w:w="0" w:type="dxa"/>
                    <w:right w:w="15" w:type="dxa"/>
                  </w:tcMar>
                  <w:vAlign w:val="center"/>
                </w:tcPr>
                <w:p w14:paraId="79EF567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 xml:space="preserve">现状浓度 </w:t>
                  </w:r>
                </w:p>
                <w:p w14:paraId="1332A5C3">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μg/m</w:t>
                  </w:r>
                  <w:r>
                    <w:rPr>
                      <w:rFonts w:hint="default"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 xml:space="preserve">） </w:t>
                  </w:r>
                </w:p>
              </w:tc>
              <w:tc>
                <w:tcPr>
                  <w:tcW w:w="1237" w:type="dxa"/>
                  <w:tcMar>
                    <w:top w:w="15" w:type="dxa"/>
                    <w:left w:w="15" w:type="dxa"/>
                    <w:bottom w:w="0" w:type="dxa"/>
                    <w:right w:w="15" w:type="dxa"/>
                  </w:tcMar>
                  <w:vAlign w:val="center"/>
                </w:tcPr>
                <w:p w14:paraId="2E471DD0">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 xml:space="preserve">评价标准 </w:t>
                  </w:r>
                </w:p>
                <w:p w14:paraId="7633CF01">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μg/m</w:t>
                  </w:r>
                  <w:r>
                    <w:rPr>
                      <w:rFonts w:hint="default"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w:t>
                  </w:r>
                </w:p>
              </w:tc>
              <w:tc>
                <w:tcPr>
                  <w:tcW w:w="1154" w:type="dxa"/>
                  <w:tcMar>
                    <w:top w:w="15" w:type="dxa"/>
                    <w:left w:w="15" w:type="dxa"/>
                    <w:bottom w:w="0" w:type="dxa"/>
                    <w:right w:w="15" w:type="dxa"/>
                  </w:tcMar>
                  <w:vAlign w:val="center"/>
                </w:tcPr>
                <w:p w14:paraId="66F59EE3">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 xml:space="preserve">占标率 </w:t>
                  </w:r>
                </w:p>
                <w:p w14:paraId="3290E8F8">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w:t>
                  </w:r>
                </w:p>
              </w:tc>
              <w:tc>
                <w:tcPr>
                  <w:tcW w:w="1270" w:type="dxa"/>
                  <w:tcMar>
                    <w:top w:w="15" w:type="dxa"/>
                    <w:left w:w="15" w:type="dxa"/>
                    <w:bottom w:w="0" w:type="dxa"/>
                    <w:right w:w="15" w:type="dxa"/>
                  </w:tcMar>
                  <w:vAlign w:val="center"/>
                </w:tcPr>
                <w:p w14:paraId="0BED7CF9">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达标情况</w:t>
                  </w:r>
                </w:p>
              </w:tc>
            </w:tr>
            <w:tr w14:paraId="5FA6E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2166CF2F">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SO</w:t>
                  </w:r>
                  <w:r>
                    <w:rPr>
                      <w:rFonts w:ascii="Times New Roman" w:hAnsi="Times New Roman" w:eastAsia="宋体" w:cs="Times New Roman"/>
                      <w:color w:val="auto"/>
                      <w:sz w:val="21"/>
                      <w:szCs w:val="21"/>
                      <w:vertAlign w:val="subscript"/>
                      <w:lang w:eastAsia="zh-CN"/>
                    </w:rPr>
                    <w:t>2</w:t>
                  </w:r>
                </w:p>
              </w:tc>
              <w:tc>
                <w:tcPr>
                  <w:tcW w:w="2263" w:type="dxa"/>
                  <w:tcMar>
                    <w:top w:w="15" w:type="dxa"/>
                    <w:left w:w="15" w:type="dxa"/>
                    <w:bottom w:w="0" w:type="dxa"/>
                    <w:right w:w="15" w:type="dxa"/>
                  </w:tcMar>
                  <w:vAlign w:val="center"/>
                </w:tcPr>
                <w:p w14:paraId="54DE613B">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年平均浓度 </w:t>
                  </w:r>
                </w:p>
              </w:tc>
              <w:tc>
                <w:tcPr>
                  <w:tcW w:w="1429" w:type="dxa"/>
                  <w:tcMar>
                    <w:top w:w="15" w:type="dxa"/>
                    <w:left w:w="15" w:type="dxa"/>
                    <w:bottom w:w="0" w:type="dxa"/>
                    <w:right w:w="15" w:type="dxa"/>
                  </w:tcMar>
                  <w:vAlign w:val="center"/>
                </w:tcPr>
                <w:p w14:paraId="12AED3F6">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12</w:t>
                  </w:r>
                </w:p>
              </w:tc>
              <w:tc>
                <w:tcPr>
                  <w:tcW w:w="1237" w:type="dxa"/>
                  <w:tcMar>
                    <w:top w:w="15" w:type="dxa"/>
                    <w:left w:w="15" w:type="dxa"/>
                    <w:bottom w:w="0" w:type="dxa"/>
                    <w:right w:w="15" w:type="dxa"/>
                  </w:tcMar>
                  <w:vAlign w:val="center"/>
                </w:tcPr>
                <w:p w14:paraId="2030F067">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lang w:eastAsia="zh-CN"/>
                    </w:rPr>
                    <w:t>60</w:t>
                  </w:r>
                </w:p>
              </w:tc>
              <w:tc>
                <w:tcPr>
                  <w:tcW w:w="1154" w:type="dxa"/>
                  <w:tcMar>
                    <w:top w:w="15" w:type="dxa"/>
                    <w:left w:w="15" w:type="dxa"/>
                    <w:bottom w:w="0" w:type="dxa"/>
                    <w:right w:w="15" w:type="dxa"/>
                  </w:tcMar>
                  <w:vAlign w:val="center"/>
                </w:tcPr>
                <w:p w14:paraId="73E0C8FF">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20 </w:t>
                  </w:r>
                </w:p>
              </w:tc>
              <w:tc>
                <w:tcPr>
                  <w:tcW w:w="1270" w:type="dxa"/>
                  <w:tcMar>
                    <w:top w:w="15" w:type="dxa"/>
                    <w:left w:w="15" w:type="dxa"/>
                    <w:bottom w:w="0" w:type="dxa"/>
                    <w:right w:w="15" w:type="dxa"/>
                  </w:tcMar>
                  <w:vAlign w:val="center"/>
                </w:tcPr>
                <w:p w14:paraId="278C3361">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lang w:eastAsia="zh-CN"/>
                    </w:rPr>
                    <w:t>达标</w:t>
                  </w:r>
                </w:p>
              </w:tc>
            </w:tr>
            <w:tr w14:paraId="0BD8E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6EB13211">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NO</w:t>
                  </w:r>
                  <w:r>
                    <w:rPr>
                      <w:rFonts w:ascii="Times New Roman" w:hAnsi="Times New Roman" w:eastAsia="宋体" w:cs="Times New Roman"/>
                      <w:color w:val="auto"/>
                      <w:sz w:val="21"/>
                      <w:szCs w:val="21"/>
                      <w:vertAlign w:val="subscript"/>
                      <w:lang w:eastAsia="zh-CN"/>
                    </w:rPr>
                    <w:t>2</w:t>
                  </w:r>
                </w:p>
              </w:tc>
              <w:tc>
                <w:tcPr>
                  <w:tcW w:w="2263" w:type="dxa"/>
                  <w:tcMar>
                    <w:top w:w="15" w:type="dxa"/>
                    <w:left w:w="15" w:type="dxa"/>
                    <w:bottom w:w="0" w:type="dxa"/>
                    <w:right w:w="15" w:type="dxa"/>
                  </w:tcMar>
                  <w:vAlign w:val="center"/>
                </w:tcPr>
                <w:p w14:paraId="7106CCB5">
                  <w:pPr>
                    <w:widowControl/>
                    <w:adjustRightInd w:val="0"/>
                    <w:jc w:val="center"/>
                    <w:textAlignment w:val="center"/>
                    <w:rPr>
                      <w:rFonts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 xml:space="preserve">年平均浓度 </w:t>
                  </w:r>
                </w:p>
              </w:tc>
              <w:tc>
                <w:tcPr>
                  <w:tcW w:w="1429" w:type="dxa"/>
                  <w:tcMar>
                    <w:top w:w="15" w:type="dxa"/>
                    <w:left w:w="15" w:type="dxa"/>
                    <w:bottom w:w="0" w:type="dxa"/>
                    <w:right w:w="15" w:type="dxa"/>
                  </w:tcMar>
                  <w:vAlign w:val="center"/>
                </w:tcPr>
                <w:p w14:paraId="0C846E7D">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29</w:t>
                  </w:r>
                </w:p>
              </w:tc>
              <w:tc>
                <w:tcPr>
                  <w:tcW w:w="1237" w:type="dxa"/>
                  <w:tcMar>
                    <w:top w:w="15" w:type="dxa"/>
                    <w:left w:w="15" w:type="dxa"/>
                    <w:bottom w:w="0" w:type="dxa"/>
                    <w:right w:w="15" w:type="dxa"/>
                  </w:tcMar>
                  <w:vAlign w:val="center"/>
                </w:tcPr>
                <w:p w14:paraId="44A3DB20">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40</w:t>
                  </w:r>
                </w:p>
              </w:tc>
              <w:tc>
                <w:tcPr>
                  <w:tcW w:w="1154" w:type="dxa"/>
                  <w:tcMar>
                    <w:top w:w="15" w:type="dxa"/>
                    <w:left w:w="15" w:type="dxa"/>
                    <w:bottom w:w="0" w:type="dxa"/>
                    <w:right w:w="15" w:type="dxa"/>
                  </w:tcMar>
                  <w:vAlign w:val="center"/>
                </w:tcPr>
                <w:p w14:paraId="5DB64C0C">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73</w:t>
                  </w:r>
                </w:p>
              </w:tc>
              <w:tc>
                <w:tcPr>
                  <w:tcW w:w="1270" w:type="dxa"/>
                  <w:tcMar>
                    <w:top w:w="15" w:type="dxa"/>
                    <w:left w:w="15" w:type="dxa"/>
                    <w:bottom w:w="0" w:type="dxa"/>
                    <w:right w:w="15" w:type="dxa"/>
                  </w:tcMar>
                  <w:vAlign w:val="center"/>
                </w:tcPr>
                <w:p w14:paraId="03D91E8E">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达标</w:t>
                  </w:r>
                </w:p>
              </w:tc>
            </w:tr>
            <w:tr w14:paraId="25CF8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77E0EB2E">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PM</w:t>
                  </w:r>
                  <w:r>
                    <w:rPr>
                      <w:rFonts w:ascii="Times New Roman" w:hAnsi="Times New Roman" w:eastAsia="宋体" w:cs="Times New Roman"/>
                      <w:color w:val="auto"/>
                      <w:sz w:val="21"/>
                      <w:szCs w:val="21"/>
                      <w:vertAlign w:val="subscript"/>
                      <w:lang w:eastAsia="zh-CN"/>
                    </w:rPr>
                    <w:t>10</w:t>
                  </w:r>
                </w:p>
              </w:tc>
              <w:tc>
                <w:tcPr>
                  <w:tcW w:w="2263" w:type="dxa"/>
                  <w:tcMar>
                    <w:top w:w="15" w:type="dxa"/>
                    <w:left w:w="15" w:type="dxa"/>
                    <w:bottom w:w="0" w:type="dxa"/>
                    <w:right w:w="15" w:type="dxa"/>
                  </w:tcMar>
                  <w:vAlign w:val="center"/>
                </w:tcPr>
                <w:p w14:paraId="2ECE7D5E">
                  <w:pPr>
                    <w:widowControl/>
                    <w:adjustRightInd w:val="0"/>
                    <w:jc w:val="center"/>
                    <w:textAlignment w:val="center"/>
                    <w:rPr>
                      <w:rFonts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 xml:space="preserve">年平均浓度 </w:t>
                  </w:r>
                </w:p>
              </w:tc>
              <w:tc>
                <w:tcPr>
                  <w:tcW w:w="1429" w:type="dxa"/>
                  <w:tcMar>
                    <w:top w:w="15" w:type="dxa"/>
                    <w:left w:w="15" w:type="dxa"/>
                    <w:bottom w:w="0" w:type="dxa"/>
                    <w:right w:w="15" w:type="dxa"/>
                  </w:tcMar>
                  <w:vAlign w:val="center"/>
                </w:tcPr>
                <w:p w14:paraId="734EA399">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77</w:t>
                  </w:r>
                </w:p>
              </w:tc>
              <w:tc>
                <w:tcPr>
                  <w:tcW w:w="1237" w:type="dxa"/>
                  <w:tcMar>
                    <w:top w:w="15" w:type="dxa"/>
                    <w:left w:w="15" w:type="dxa"/>
                    <w:bottom w:w="0" w:type="dxa"/>
                    <w:right w:w="15" w:type="dxa"/>
                  </w:tcMar>
                  <w:vAlign w:val="center"/>
                </w:tcPr>
                <w:p w14:paraId="13358A3E">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70</w:t>
                  </w:r>
                </w:p>
              </w:tc>
              <w:tc>
                <w:tcPr>
                  <w:tcW w:w="1154" w:type="dxa"/>
                  <w:tcMar>
                    <w:top w:w="15" w:type="dxa"/>
                    <w:left w:w="15" w:type="dxa"/>
                    <w:bottom w:w="0" w:type="dxa"/>
                    <w:right w:w="15" w:type="dxa"/>
                  </w:tcMar>
                  <w:vAlign w:val="center"/>
                </w:tcPr>
                <w:p w14:paraId="2861731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 xml:space="preserve">110 </w:t>
                  </w:r>
                  <w:r>
                    <w:rPr>
                      <w:rFonts w:hint="eastAsia" w:ascii="Times New Roman" w:hAnsi="Times New Roman" w:eastAsia="宋体" w:cs="Times New Roman"/>
                      <w:color w:val="auto"/>
                      <w:sz w:val="21"/>
                      <w:szCs w:val="21"/>
                      <w:lang w:val="en-US" w:eastAsia="zh-CN"/>
                    </w:rPr>
                    <w:t xml:space="preserve"> </w:t>
                  </w:r>
                </w:p>
              </w:tc>
              <w:tc>
                <w:tcPr>
                  <w:tcW w:w="1270" w:type="dxa"/>
                  <w:tcMar>
                    <w:top w:w="15" w:type="dxa"/>
                    <w:left w:w="15" w:type="dxa"/>
                    <w:bottom w:w="0" w:type="dxa"/>
                    <w:right w:w="15" w:type="dxa"/>
                  </w:tcMar>
                  <w:vAlign w:val="center"/>
                </w:tcPr>
                <w:p w14:paraId="73AA2635">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超标</w:t>
                  </w:r>
                </w:p>
              </w:tc>
            </w:tr>
            <w:tr w14:paraId="3EE97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752BAB31">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PM</w:t>
                  </w:r>
                  <w:r>
                    <w:rPr>
                      <w:rFonts w:ascii="Times New Roman" w:hAnsi="Times New Roman" w:eastAsia="宋体" w:cs="Times New Roman"/>
                      <w:color w:val="auto"/>
                      <w:sz w:val="21"/>
                      <w:szCs w:val="21"/>
                      <w:vertAlign w:val="subscript"/>
                      <w:lang w:eastAsia="zh-CN"/>
                    </w:rPr>
                    <w:t>2.5</w:t>
                  </w:r>
                </w:p>
              </w:tc>
              <w:tc>
                <w:tcPr>
                  <w:tcW w:w="2263" w:type="dxa"/>
                  <w:tcMar>
                    <w:top w:w="15" w:type="dxa"/>
                    <w:left w:w="15" w:type="dxa"/>
                    <w:bottom w:w="0" w:type="dxa"/>
                    <w:right w:w="15" w:type="dxa"/>
                  </w:tcMar>
                  <w:vAlign w:val="center"/>
                </w:tcPr>
                <w:p w14:paraId="4A05129F">
                  <w:pPr>
                    <w:widowControl/>
                    <w:adjustRightInd w:val="0"/>
                    <w:jc w:val="center"/>
                    <w:textAlignment w:val="center"/>
                    <w:rPr>
                      <w:rFonts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 xml:space="preserve">年平均浓度 </w:t>
                  </w:r>
                </w:p>
              </w:tc>
              <w:tc>
                <w:tcPr>
                  <w:tcW w:w="1429" w:type="dxa"/>
                  <w:tcMar>
                    <w:top w:w="15" w:type="dxa"/>
                    <w:left w:w="15" w:type="dxa"/>
                    <w:bottom w:w="0" w:type="dxa"/>
                    <w:right w:w="15" w:type="dxa"/>
                  </w:tcMar>
                  <w:vAlign w:val="center"/>
                </w:tcPr>
                <w:p w14:paraId="42B6A34E">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43</w:t>
                  </w:r>
                </w:p>
              </w:tc>
              <w:tc>
                <w:tcPr>
                  <w:tcW w:w="1237" w:type="dxa"/>
                  <w:tcMar>
                    <w:top w:w="15" w:type="dxa"/>
                    <w:left w:w="15" w:type="dxa"/>
                    <w:bottom w:w="0" w:type="dxa"/>
                    <w:right w:w="15" w:type="dxa"/>
                  </w:tcMar>
                  <w:vAlign w:val="center"/>
                </w:tcPr>
                <w:p w14:paraId="6B3BE5AF">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35</w:t>
                  </w:r>
                </w:p>
              </w:tc>
              <w:tc>
                <w:tcPr>
                  <w:tcW w:w="1154" w:type="dxa"/>
                  <w:tcMar>
                    <w:top w:w="15" w:type="dxa"/>
                    <w:left w:w="15" w:type="dxa"/>
                    <w:bottom w:w="0" w:type="dxa"/>
                    <w:right w:w="15" w:type="dxa"/>
                  </w:tcMar>
                  <w:vAlign w:val="center"/>
                </w:tcPr>
                <w:p w14:paraId="3515CD7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 xml:space="preserve">123 </w:t>
                  </w:r>
                </w:p>
              </w:tc>
              <w:tc>
                <w:tcPr>
                  <w:tcW w:w="1270" w:type="dxa"/>
                  <w:tcMar>
                    <w:top w:w="15" w:type="dxa"/>
                    <w:left w:w="15" w:type="dxa"/>
                    <w:bottom w:w="0" w:type="dxa"/>
                    <w:right w:w="15" w:type="dxa"/>
                  </w:tcMar>
                  <w:vAlign w:val="center"/>
                </w:tcPr>
                <w:p w14:paraId="73ABBA07">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超标</w:t>
                  </w:r>
                </w:p>
              </w:tc>
            </w:tr>
            <w:tr w14:paraId="2355B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6951E69D">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CO</w:t>
                  </w:r>
                </w:p>
              </w:tc>
              <w:tc>
                <w:tcPr>
                  <w:tcW w:w="2263" w:type="dxa"/>
                  <w:tcMar>
                    <w:top w:w="15" w:type="dxa"/>
                    <w:left w:w="15" w:type="dxa"/>
                    <w:bottom w:w="0" w:type="dxa"/>
                    <w:right w:w="15" w:type="dxa"/>
                  </w:tcMar>
                  <w:vAlign w:val="center"/>
                </w:tcPr>
                <w:p w14:paraId="230C295A">
                  <w:pPr>
                    <w:widowControl/>
                    <w:adjustRightInd w:val="0"/>
                    <w:jc w:val="center"/>
                    <w:textAlignment w:val="center"/>
                    <w:rPr>
                      <w:rFonts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 xml:space="preserve">95 </w:t>
                  </w:r>
                  <w:r>
                    <w:rPr>
                      <w:rFonts w:hint="eastAsia" w:ascii="Times New Roman" w:hAnsi="Times New Roman" w:eastAsia="宋体" w:cs="Times New Roman"/>
                      <w:color w:val="auto"/>
                      <w:sz w:val="21"/>
                      <w:szCs w:val="21"/>
                      <w:lang w:val="en-US" w:eastAsia="zh-CN"/>
                    </w:rPr>
                    <w:t>百分位日平均浓度</w:t>
                  </w:r>
                </w:p>
              </w:tc>
              <w:tc>
                <w:tcPr>
                  <w:tcW w:w="1429" w:type="dxa"/>
                  <w:tcMar>
                    <w:top w:w="15" w:type="dxa"/>
                    <w:left w:w="15" w:type="dxa"/>
                    <w:bottom w:w="0" w:type="dxa"/>
                    <w:right w:w="15" w:type="dxa"/>
                  </w:tcMar>
                  <w:vAlign w:val="center"/>
                </w:tcPr>
                <w:p w14:paraId="49A8FCF6">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1.7</w:t>
                  </w:r>
                </w:p>
              </w:tc>
              <w:tc>
                <w:tcPr>
                  <w:tcW w:w="1237" w:type="dxa"/>
                  <w:tcMar>
                    <w:top w:w="15" w:type="dxa"/>
                    <w:left w:w="15" w:type="dxa"/>
                    <w:bottom w:w="0" w:type="dxa"/>
                    <w:right w:w="15" w:type="dxa"/>
                  </w:tcMar>
                  <w:vAlign w:val="center"/>
                </w:tcPr>
                <w:p w14:paraId="72395083">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4</w:t>
                  </w:r>
                </w:p>
              </w:tc>
              <w:tc>
                <w:tcPr>
                  <w:tcW w:w="1154" w:type="dxa"/>
                  <w:tcMar>
                    <w:top w:w="15" w:type="dxa"/>
                    <w:left w:w="15" w:type="dxa"/>
                    <w:bottom w:w="0" w:type="dxa"/>
                    <w:right w:w="15" w:type="dxa"/>
                  </w:tcMar>
                  <w:vAlign w:val="center"/>
                </w:tcPr>
                <w:p w14:paraId="3964AB9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 xml:space="preserve">43 </w:t>
                  </w:r>
                </w:p>
              </w:tc>
              <w:tc>
                <w:tcPr>
                  <w:tcW w:w="1270" w:type="dxa"/>
                  <w:tcMar>
                    <w:top w:w="15" w:type="dxa"/>
                    <w:left w:w="15" w:type="dxa"/>
                    <w:bottom w:w="0" w:type="dxa"/>
                    <w:right w:w="15" w:type="dxa"/>
                  </w:tcMar>
                  <w:vAlign w:val="center"/>
                </w:tcPr>
                <w:p w14:paraId="57BAAB5F">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lang w:eastAsia="zh-CN"/>
                    </w:rPr>
                    <w:t>达标</w:t>
                  </w:r>
                </w:p>
              </w:tc>
            </w:tr>
            <w:tr w14:paraId="5B683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9" w:type="dxa"/>
                  <w:tcMar>
                    <w:top w:w="15" w:type="dxa"/>
                    <w:left w:w="15" w:type="dxa"/>
                    <w:bottom w:w="0" w:type="dxa"/>
                    <w:right w:w="15" w:type="dxa"/>
                  </w:tcMar>
                  <w:vAlign w:val="center"/>
                </w:tcPr>
                <w:p w14:paraId="5ED79F01">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O</w:t>
                  </w:r>
                  <w:r>
                    <w:rPr>
                      <w:rFonts w:ascii="Times New Roman" w:hAnsi="Times New Roman" w:eastAsia="宋体" w:cs="Times New Roman"/>
                      <w:color w:val="auto"/>
                      <w:sz w:val="21"/>
                      <w:szCs w:val="21"/>
                      <w:vertAlign w:val="subscript"/>
                      <w:lang w:eastAsia="zh-CN"/>
                    </w:rPr>
                    <w:t>3</w:t>
                  </w:r>
                </w:p>
              </w:tc>
              <w:tc>
                <w:tcPr>
                  <w:tcW w:w="2263" w:type="dxa"/>
                  <w:tcMar>
                    <w:top w:w="15" w:type="dxa"/>
                    <w:left w:w="15" w:type="dxa"/>
                    <w:bottom w:w="0" w:type="dxa"/>
                    <w:right w:w="15" w:type="dxa"/>
                  </w:tcMar>
                  <w:vAlign w:val="center"/>
                </w:tcPr>
                <w:p w14:paraId="7FC5447B">
                  <w:pPr>
                    <w:widowControl/>
                    <w:adjustRightInd w:val="0"/>
                    <w:jc w:val="center"/>
                    <w:textAlignment w:val="center"/>
                    <w:rPr>
                      <w:rFonts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 xml:space="preserve">90 </w:t>
                  </w:r>
                  <w:r>
                    <w:rPr>
                      <w:rFonts w:hint="eastAsia" w:ascii="Times New Roman" w:hAnsi="Times New Roman" w:eastAsia="宋体" w:cs="Times New Roman"/>
                      <w:color w:val="auto"/>
                      <w:sz w:val="21"/>
                      <w:szCs w:val="21"/>
                      <w:lang w:val="en-US" w:eastAsia="zh-CN"/>
                    </w:rPr>
                    <w:t>百分位日最大</w:t>
                  </w:r>
                  <w:r>
                    <w:rPr>
                      <w:rFonts w:hint="default"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lang w:val="en-US" w:eastAsia="zh-CN"/>
                    </w:rPr>
                    <w:t>小时平均浓度</w:t>
                  </w:r>
                </w:p>
              </w:tc>
              <w:tc>
                <w:tcPr>
                  <w:tcW w:w="1429" w:type="dxa"/>
                  <w:tcMar>
                    <w:top w:w="15" w:type="dxa"/>
                    <w:left w:w="15" w:type="dxa"/>
                    <w:bottom w:w="0" w:type="dxa"/>
                    <w:right w:w="15" w:type="dxa"/>
                  </w:tcMar>
                  <w:vAlign w:val="center"/>
                </w:tcPr>
                <w:p w14:paraId="73866CD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167</w:t>
                  </w:r>
                </w:p>
              </w:tc>
              <w:tc>
                <w:tcPr>
                  <w:tcW w:w="1237" w:type="dxa"/>
                  <w:tcMar>
                    <w:top w:w="15" w:type="dxa"/>
                    <w:left w:w="15" w:type="dxa"/>
                    <w:bottom w:w="0" w:type="dxa"/>
                    <w:right w:w="15" w:type="dxa"/>
                  </w:tcMar>
                  <w:vAlign w:val="center"/>
                </w:tcPr>
                <w:p w14:paraId="4508DD93">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160</w:t>
                  </w:r>
                </w:p>
              </w:tc>
              <w:tc>
                <w:tcPr>
                  <w:tcW w:w="1154" w:type="dxa"/>
                  <w:tcMar>
                    <w:top w:w="15" w:type="dxa"/>
                    <w:left w:w="15" w:type="dxa"/>
                    <w:bottom w:w="0" w:type="dxa"/>
                    <w:right w:w="15" w:type="dxa"/>
                  </w:tcMar>
                  <w:vAlign w:val="center"/>
                </w:tcPr>
                <w:p w14:paraId="2C40E275">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 xml:space="preserve">104 </w:t>
                  </w:r>
                </w:p>
              </w:tc>
              <w:tc>
                <w:tcPr>
                  <w:tcW w:w="1270" w:type="dxa"/>
                  <w:tcMar>
                    <w:top w:w="15" w:type="dxa"/>
                    <w:left w:w="15" w:type="dxa"/>
                    <w:bottom w:w="0" w:type="dxa"/>
                    <w:right w:w="15" w:type="dxa"/>
                  </w:tcMar>
                  <w:vAlign w:val="center"/>
                </w:tcPr>
                <w:p w14:paraId="1FAC780D">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超标</w:t>
                  </w:r>
                </w:p>
              </w:tc>
            </w:tr>
          </w:tbl>
          <w:p w14:paraId="6F37370D">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补充监测数据</w:t>
            </w:r>
          </w:p>
          <w:p w14:paraId="5A9D25F9">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本项目特征污染物主要为</w:t>
            </w:r>
            <w:r>
              <w:rPr>
                <w:rFonts w:hint="eastAsia" w:ascii="Times New Roman" w:hAnsi="Times New Roman" w:eastAsia="宋体" w:cs="Times New Roman"/>
                <w:color w:val="auto"/>
                <w:sz w:val="24"/>
                <w:szCs w:val="24"/>
                <w:highlight w:val="none"/>
                <w:lang w:val="en-US" w:eastAsia="zh-CN"/>
              </w:rPr>
              <w:t>TSP</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特委托山西金硕源环境检测有限公司于2024年11月19日-22日对本项目东南侧501m处宋家庄村（下风向关心点）进行监测（监测报告见附件10），监测点位及时间满足周边5km且下风向不少于3天监测要求，</w:t>
            </w:r>
            <w:r>
              <w:rPr>
                <w:rFonts w:hint="eastAsia" w:ascii="Times New Roman" w:hAnsi="Times New Roman" w:eastAsia="宋体" w:cs="Times New Roman"/>
                <w:color w:val="auto"/>
                <w:sz w:val="24"/>
                <w:szCs w:val="24"/>
                <w:highlight w:val="none"/>
                <w:lang w:eastAsia="zh-CN"/>
              </w:rPr>
              <w:t>监测结果见下表。</w:t>
            </w:r>
          </w:p>
          <w:p w14:paraId="52371634">
            <w:pPr>
              <w:jc w:val="center"/>
              <w:rPr>
                <w:rFonts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lang w:val="en-US" w:eastAsia="zh-CN"/>
              </w:rPr>
              <w:t xml:space="preserve">表 </w:t>
            </w:r>
            <w:r>
              <w:rPr>
                <w:rFonts w:ascii="Times New Roman" w:hAnsi="Times New Roman" w:eastAsia="宋体" w:cs="Times New Roman"/>
                <w:b/>
                <w:bCs/>
                <w:color w:val="auto"/>
                <w:sz w:val="21"/>
                <w:szCs w:val="21"/>
                <w:lang w:val="en-US" w:eastAsia="zh-CN"/>
              </w:rPr>
              <w:t>3.1-</w:t>
            </w:r>
            <w:r>
              <w:rPr>
                <w:rFonts w:hint="eastAsia" w:ascii="Times New Roman" w:hAnsi="Times New Roman" w:eastAsia="宋体" w:cs="Times New Roman"/>
                <w:b/>
                <w:bCs/>
                <w:color w:val="auto"/>
                <w:sz w:val="21"/>
                <w:szCs w:val="21"/>
                <w:lang w:val="en-US" w:eastAsia="zh-CN"/>
              </w:rPr>
              <w:t xml:space="preserve">2  </w:t>
            </w:r>
            <w:r>
              <w:rPr>
                <w:rFonts w:hint="eastAsia" w:ascii="Times New Roman" w:hAnsi="Times New Roman" w:eastAsia="宋体" w:cs="Times New Roman"/>
                <w:b/>
                <w:bCs/>
                <w:color w:val="auto"/>
                <w:sz w:val="21"/>
                <w:szCs w:val="21"/>
                <w:highlight w:val="none"/>
                <w:lang w:val="en-US" w:eastAsia="zh-CN"/>
              </w:rPr>
              <w:t>特征因子</w:t>
            </w:r>
            <w:r>
              <w:rPr>
                <w:rFonts w:hint="eastAsia" w:ascii="Times New Roman" w:hAnsi="Times New Roman" w:eastAsia="宋体" w:cs="Times New Roman"/>
                <w:b/>
                <w:bCs/>
                <w:color w:val="auto"/>
                <w:sz w:val="21"/>
                <w:szCs w:val="21"/>
                <w:highlight w:val="none"/>
                <w:lang w:eastAsia="zh-CN"/>
              </w:rPr>
              <w:t>监测结果</w:t>
            </w:r>
            <w:r>
              <w:rPr>
                <w:rFonts w:ascii="Times New Roman" w:hAnsi="Times New Roman" w:eastAsia="宋体" w:cs="Times New Roman"/>
                <w:b/>
                <w:bCs/>
                <w:color w:val="auto"/>
                <w:sz w:val="21"/>
                <w:szCs w:val="21"/>
                <w:highlight w:val="none"/>
                <w:lang w:eastAsia="zh-CN"/>
              </w:rPr>
              <w:t>统计表</w:t>
            </w:r>
            <w:r>
              <w:rPr>
                <w:rFonts w:hint="eastAsia" w:ascii="Times New Roman" w:hAnsi="Times New Roman" w:eastAsia="宋体" w:cs="Times New Roman"/>
                <w:color w:val="auto"/>
                <w:sz w:val="21"/>
                <w:szCs w:val="21"/>
                <w:highlight w:val="none"/>
                <w:lang w:eastAsia="zh-CN"/>
              </w:rPr>
              <w:t>（单位：</w:t>
            </w: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color w:val="auto"/>
                <w:sz w:val="21"/>
                <w:szCs w:val="21"/>
                <w:highlight w:val="none"/>
                <w:lang w:eastAsia="zh-CN"/>
              </w:rPr>
              <w:t>g/m</w:t>
            </w:r>
            <w:r>
              <w:rPr>
                <w:rFonts w:hint="eastAsia" w:ascii="Times New Roman" w:hAnsi="Times New Roman" w:eastAsia="宋体" w:cs="Times New Roman"/>
                <w:color w:val="auto"/>
                <w:sz w:val="21"/>
                <w:szCs w:val="21"/>
                <w:highlight w:val="none"/>
                <w:vertAlign w:val="superscript"/>
                <w:lang w:eastAsia="zh-CN"/>
              </w:rPr>
              <w:t>3</w:t>
            </w:r>
            <w:r>
              <w:rPr>
                <w:rFonts w:hint="eastAsia" w:ascii="Times New Roman" w:hAnsi="Times New Roman" w:eastAsia="宋体" w:cs="Times New Roman"/>
                <w:color w:val="auto"/>
                <w:sz w:val="21"/>
                <w:szCs w:val="21"/>
                <w:highlight w:val="none"/>
                <w:lang w:eastAsia="zh-CN"/>
              </w:rPr>
              <w:t>）</w:t>
            </w:r>
          </w:p>
          <w:tbl>
            <w:tblPr>
              <w:tblStyle w:val="3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822"/>
              <w:gridCol w:w="1685"/>
              <w:gridCol w:w="1435"/>
              <w:gridCol w:w="1037"/>
              <w:gridCol w:w="1146"/>
            </w:tblGrid>
            <w:tr w14:paraId="02FB3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restart"/>
                  <w:tcBorders>
                    <w:tl2br w:val="nil"/>
                    <w:tr2bl w:val="nil"/>
                  </w:tcBorders>
                  <w:vAlign w:val="center"/>
                </w:tcPr>
                <w:p w14:paraId="5D3250E2">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监测点位</w:t>
                  </w:r>
                </w:p>
              </w:tc>
              <w:tc>
                <w:tcPr>
                  <w:tcW w:w="1822" w:type="dxa"/>
                  <w:vMerge w:val="restart"/>
                  <w:tcBorders>
                    <w:tl2br w:val="nil"/>
                    <w:tr2bl w:val="nil"/>
                  </w:tcBorders>
                  <w:vAlign w:val="center"/>
                </w:tcPr>
                <w:p w14:paraId="55880AB2">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监测日期</w:t>
                  </w:r>
                </w:p>
              </w:tc>
              <w:tc>
                <w:tcPr>
                  <w:tcW w:w="1685" w:type="dxa"/>
                  <w:tcBorders>
                    <w:tl2br w:val="nil"/>
                    <w:tr2bl w:val="nil"/>
                  </w:tcBorders>
                  <w:vAlign w:val="center"/>
                </w:tcPr>
                <w:p w14:paraId="31847E49">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监测项目</w:t>
                  </w:r>
                </w:p>
              </w:tc>
              <w:tc>
                <w:tcPr>
                  <w:tcW w:w="1435" w:type="dxa"/>
                  <w:vMerge w:val="restart"/>
                  <w:tcBorders>
                    <w:tl2br w:val="nil"/>
                    <w:tr2bl w:val="nil"/>
                  </w:tcBorders>
                  <w:vAlign w:val="center"/>
                </w:tcPr>
                <w:p w14:paraId="3DFC5B33">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标准值</w:t>
                  </w:r>
                </w:p>
              </w:tc>
              <w:tc>
                <w:tcPr>
                  <w:tcW w:w="1037" w:type="dxa"/>
                  <w:vMerge w:val="restart"/>
                  <w:tcBorders>
                    <w:tl2br w:val="nil"/>
                    <w:tr2bl w:val="nil"/>
                  </w:tcBorders>
                  <w:vAlign w:val="center"/>
                </w:tcPr>
                <w:p w14:paraId="303D935B">
                  <w:pPr>
                    <w:widowControl/>
                    <w:adjustRightInd w:val="0"/>
                    <w:jc w:val="center"/>
                    <w:textAlignment w:val="center"/>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占标率%</w:t>
                  </w:r>
                </w:p>
              </w:tc>
              <w:tc>
                <w:tcPr>
                  <w:tcW w:w="1146" w:type="dxa"/>
                  <w:vMerge w:val="restart"/>
                  <w:tcBorders>
                    <w:tl2br w:val="nil"/>
                    <w:tr2bl w:val="nil"/>
                  </w:tcBorders>
                  <w:vAlign w:val="center"/>
                </w:tcPr>
                <w:p w14:paraId="23A6BF17">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达标情况</w:t>
                  </w:r>
                </w:p>
              </w:tc>
            </w:tr>
            <w:tr w14:paraId="3C890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vAlign w:val="center"/>
                </w:tcPr>
                <w:p w14:paraId="00E1D693">
                  <w:pPr>
                    <w:widowControl/>
                    <w:adjustRightInd w:val="0"/>
                    <w:jc w:val="center"/>
                    <w:textAlignment w:val="center"/>
                    <w:rPr>
                      <w:rFonts w:ascii="Times New Roman" w:hAnsi="Times New Roman" w:eastAsia="宋体" w:cs="Times New Roman"/>
                      <w:color w:val="auto"/>
                      <w:sz w:val="21"/>
                      <w:szCs w:val="21"/>
                      <w:highlight w:val="none"/>
                      <w:lang w:eastAsia="zh-CN"/>
                    </w:rPr>
                  </w:pPr>
                </w:p>
              </w:tc>
              <w:tc>
                <w:tcPr>
                  <w:tcW w:w="1822" w:type="dxa"/>
                  <w:vMerge w:val="continue"/>
                  <w:tcBorders>
                    <w:tl2br w:val="nil"/>
                    <w:tr2bl w:val="nil"/>
                  </w:tcBorders>
                  <w:vAlign w:val="center"/>
                </w:tcPr>
                <w:p w14:paraId="2C94FFEE">
                  <w:pPr>
                    <w:widowControl/>
                    <w:adjustRightInd w:val="0"/>
                    <w:jc w:val="center"/>
                    <w:textAlignment w:val="center"/>
                    <w:rPr>
                      <w:rFonts w:ascii="Times New Roman" w:hAnsi="Times New Roman" w:eastAsia="宋体" w:cs="Times New Roman"/>
                      <w:color w:val="auto"/>
                      <w:sz w:val="21"/>
                      <w:szCs w:val="21"/>
                      <w:highlight w:val="none"/>
                      <w:lang w:eastAsia="zh-CN"/>
                    </w:rPr>
                  </w:pPr>
                </w:p>
              </w:tc>
              <w:tc>
                <w:tcPr>
                  <w:tcW w:w="1685" w:type="dxa"/>
                  <w:tcBorders>
                    <w:tl2br w:val="nil"/>
                    <w:tr2bl w:val="nil"/>
                  </w:tcBorders>
                  <w:vAlign w:val="center"/>
                </w:tcPr>
                <w:p w14:paraId="2B7B2E94">
                  <w:pPr>
                    <w:widowControl/>
                    <w:adjustRightIn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TSP</w:t>
                  </w:r>
                </w:p>
              </w:tc>
              <w:tc>
                <w:tcPr>
                  <w:tcW w:w="1435" w:type="dxa"/>
                  <w:vMerge w:val="continue"/>
                  <w:tcBorders>
                    <w:tl2br w:val="nil"/>
                    <w:tr2bl w:val="nil"/>
                  </w:tcBorders>
                  <w:vAlign w:val="center"/>
                </w:tcPr>
                <w:p w14:paraId="4AF8A9C4">
                  <w:pPr>
                    <w:widowControl/>
                    <w:adjustRightInd w:val="0"/>
                    <w:jc w:val="center"/>
                    <w:textAlignment w:val="center"/>
                    <w:rPr>
                      <w:rFonts w:ascii="Times New Roman" w:hAnsi="Times New Roman" w:eastAsia="宋体" w:cs="Times New Roman"/>
                      <w:color w:val="auto"/>
                      <w:sz w:val="21"/>
                      <w:szCs w:val="21"/>
                      <w:highlight w:val="none"/>
                      <w:lang w:eastAsia="zh-CN"/>
                    </w:rPr>
                  </w:pPr>
                </w:p>
              </w:tc>
              <w:tc>
                <w:tcPr>
                  <w:tcW w:w="1037" w:type="dxa"/>
                  <w:vMerge w:val="continue"/>
                  <w:tcBorders>
                    <w:tl2br w:val="nil"/>
                    <w:tr2bl w:val="nil"/>
                  </w:tcBorders>
                  <w:vAlign w:val="center"/>
                </w:tcPr>
                <w:p w14:paraId="1AD483C8">
                  <w:pPr>
                    <w:widowControl/>
                    <w:adjustRightInd w:val="0"/>
                    <w:jc w:val="center"/>
                    <w:textAlignment w:val="center"/>
                    <w:rPr>
                      <w:rFonts w:ascii="Times New Roman" w:hAnsi="Times New Roman" w:eastAsia="宋体" w:cs="Times New Roman"/>
                      <w:color w:val="auto"/>
                      <w:sz w:val="21"/>
                      <w:szCs w:val="21"/>
                      <w:highlight w:val="none"/>
                      <w:lang w:eastAsia="zh-CN"/>
                    </w:rPr>
                  </w:pPr>
                </w:p>
              </w:tc>
              <w:tc>
                <w:tcPr>
                  <w:tcW w:w="1146" w:type="dxa"/>
                  <w:vMerge w:val="continue"/>
                  <w:tcBorders>
                    <w:tl2br w:val="nil"/>
                    <w:tr2bl w:val="nil"/>
                  </w:tcBorders>
                  <w:vAlign w:val="center"/>
                </w:tcPr>
                <w:p w14:paraId="359A3A4C">
                  <w:pPr>
                    <w:widowControl/>
                    <w:adjustRightInd w:val="0"/>
                    <w:jc w:val="center"/>
                    <w:textAlignment w:val="center"/>
                    <w:rPr>
                      <w:rFonts w:ascii="Times New Roman" w:hAnsi="Times New Roman" w:eastAsia="宋体" w:cs="Times New Roman"/>
                      <w:color w:val="auto"/>
                      <w:sz w:val="21"/>
                      <w:szCs w:val="21"/>
                      <w:highlight w:val="none"/>
                      <w:lang w:eastAsia="zh-CN"/>
                    </w:rPr>
                  </w:pPr>
                </w:p>
              </w:tc>
            </w:tr>
            <w:tr w14:paraId="4906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146" w:type="dxa"/>
                  <w:vMerge w:val="restart"/>
                  <w:tcBorders>
                    <w:tl2br w:val="nil"/>
                    <w:tr2bl w:val="nil"/>
                  </w:tcBorders>
                  <w:vAlign w:val="center"/>
                </w:tcPr>
                <w:p w14:paraId="3B00174B">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宋家庄村</w:t>
                  </w:r>
                </w:p>
              </w:tc>
              <w:tc>
                <w:tcPr>
                  <w:tcW w:w="1822" w:type="dxa"/>
                  <w:tcBorders>
                    <w:tl2br w:val="nil"/>
                    <w:tr2bl w:val="nil"/>
                  </w:tcBorders>
                  <w:vAlign w:val="center"/>
                </w:tcPr>
                <w:p w14:paraId="79D9ACE6">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2024.11.19-11.20</w:t>
                  </w:r>
                </w:p>
              </w:tc>
              <w:tc>
                <w:tcPr>
                  <w:tcW w:w="1685" w:type="dxa"/>
                  <w:tcBorders>
                    <w:tl2br w:val="nil"/>
                    <w:tr2bl w:val="nil"/>
                  </w:tcBorders>
                  <w:vAlign w:val="center"/>
                </w:tcPr>
                <w:p w14:paraId="12DF47E5">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0.125</w:t>
                  </w:r>
                </w:p>
              </w:tc>
              <w:tc>
                <w:tcPr>
                  <w:tcW w:w="1435" w:type="dxa"/>
                  <w:tcBorders>
                    <w:tl2br w:val="nil"/>
                    <w:tr2bl w:val="nil"/>
                  </w:tcBorders>
                  <w:vAlign w:val="center"/>
                </w:tcPr>
                <w:p w14:paraId="396556B3">
                  <w:pPr>
                    <w:widowControl/>
                    <w:adjustRightIn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1037" w:type="dxa"/>
                  <w:tcBorders>
                    <w:tl2br w:val="nil"/>
                    <w:tr2bl w:val="nil"/>
                  </w:tcBorders>
                  <w:vAlign w:val="center"/>
                </w:tcPr>
                <w:p w14:paraId="4F98DCEC">
                  <w:pPr>
                    <w:widowControl/>
                    <w:adjustRightIn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w:t>
                  </w:r>
                </w:p>
              </w:tc>
              <w:tc>
                <w:tcPr>
                  <w:tcW w:w="1146" w:type="dxa"/>
                  <w:tcBorders>
                    <w:tl2br w:val="nil"/>
                    <w:tr2bl w:val="nil"/>
                  </w:tcBorders>
                  <w:vAlign w:val="center"/>
                </w:tcPr>
                <w:p w14:paraId="487B3DBD">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达标</w:t>
                  </w:r>
                </w:p>
              </w:tc>
            </w:tr>
            <w:tr w14:paraId="540D8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vAlign w:val="center"/>
                </w:tcPr>
                <w:p w14:paraId="6FF13B02">
                  <w:pPr>
                    <w:widowControl/>
                    <w:adjustRightInd w:val="0"/>
                    <w:jc w:val="center"/>
                    <w:textAlignment w:val="center"/>
                    <w:rPr>
                      <w:rFonts w:ascii="Times New Roman" w:hAnsi="Times New Roman" w:eastAsia="宋体" w:cs="Times New Roman"/>
                      <w:color w:val="auto"/>
                      <w:sz w:val="21"/>
                      <w:szCs w:val="21"/>
                      <w:highlight w:val="none"/>
                      <w:lang w:eastAsia="zh-CN"/>
                    </w:rPr>
                  </w:pPr>
                </w:p>
              </w:tc>
              <w:tc>
                <w:tcPr>
                  <w:tcW w:w="1822" w:type="dxa"/>
                  <w:tcBorders>
                    <w:tl2br w:val="nil"/>
                    <w:tr2bl w:val="nil"/>
                  </w:tcBorders>
                  <w:vAlign w:val="center"/>
                </w:tcPr>
                <w:p w14:paraId="2F651754">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2024.11.20-11.21</w:t>
                  </w:r>
                </w:p>
              </w:tc>
              <w:tc>
                <w:tcPr>
                  <w:tcW w:w="1685" w:type="dxa"/>
                  <w:tcBorders>
                    <w:tl2br w:val="nil"/>
                    <w:tr2bl w:val="nil"/>
                  </w:tcBorders>
                  <w:vAlign w:val="center"/>
                </w:tcPr>
                <w:p w14:paraId="2B5FA6C0">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0.152</w:t>
                  </w:r>
                </w:p>
              </w:tc>
              <w:tc>
                <w:tcPr>
                  <w:tcW w:w="1435" w:type="dxa"/>
                  <w:tcBorders>
                    <w:tl2br w:val="nil"/>
                    <w:tr2bl w:val="nil"/>
                  </w:tcBorders>
                  <w:vAlign w:val="center"/>
                </w:tcPr>
                <w:p w14:paraId="19A66114">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0.3</w:t>
                  </w:r>
                </w:p>
              </w:tc>
              <w:tc>
                <w:tcPr>
                  <w:tcW w:w="1037" w:type="dxa"/>
                  <w:tcBorders>
                    <w:tl2br w:val="nil"/>
                    <w:tr2bl w:val="nil"/>
                  </w:tcBorders>
                  <w:vAlign w:val="center"/>
                </w:tcPr>
                <w:p w14:paraId="5BC00BCE">
                  <w:pPr>
                    <w:widowControl/>
                    <w:adjustRightIn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w:t>
                  </w:r>
                </w:p>
              </w:tc>
              <w:tc>
                <w:tcPr>
                  <w:tcW w:w="1146" w:type="dxa"/>
                  <w:tcBorders>
                    <w:tl2br w:val="nil"/>
                    <w:tr2bl w:val="nil"/>
                  </w:tcBorders>
                  <w:vAlign w:val="center"/>
                </w:tcPr>
                <w:p w14:paraId="1EFFFDC7">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达标</w:t>
                  </w:r>
                </w:p>
              </w:tc>
            </w:tr>
            <w:tr w14:paraId="2AEB7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vAlign w:val="center"/>
                </w:tcPr>
                <w:p w14:paraId="2B2CE063">
                  <w:pPr>
                    <w:widowControl/>
                    <w:adjustRightInd w:val="0"/>
                    <w:jc w:val="center"/>
                    <w:textAlignment w:val="center"/>
                    <w:rPr>
                      <w:rFonts w:ascii="Times New Roman" w:hAnsi="Times New Roman" w:eastAsia="宋体" w:cs="Times New Roman"/>
                      <w:color w:val="auto"/>
                      <w:sz w:val="21"/>
                      <w:szCs w:val="21"/>
                      <w:highlight w:val="none"/>
                      <w:lang w:eastAsia="zh-CN"/>
                    </w:rPr>
                  </w:pPr>
                </w:p>
              </w:tc>
              <w:tc>
                <w:tcPr>
                  <w:tcW w:w="1822" w:type="dxa"/>
                  <w:tcBorders>
                    <w:tl2br w:val="nil"/>
                    <w:tr2bl w:val="nil"/>
                  </w:tcBorders>
                  <w:vAlign w:val="center"/>
                </w:tcPr>
                <w:p w14:paraId="5612DE22">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2024.11.21-11.22</w:t>
                  </w:r>
                </w:p>
              </w:tc>
              <w:tc>
                <w:tcPr>
                  <w:tcW w:w="1685" w:type="dxa"/>
                  <w:tcBorders>
                    <w:tl2br w:val="nil"/>
                    <w:tr2bl w:val="nil"/>
                  </w:tcBorders>
                  <w:vAlign w:val="center"/>
                </w:tcPr>
                <w:p w14:paraId="2EBBD826">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0.113</w:t>
                  </w:r>
                </w:p>
              </w:tc>
              <w:tc>
                <w:tcPr>
                  <w:tcW w:w="1435" w:type="dxa"/>
                  <w:tcBorders>
                    <w:tl2br w:val="nil"/>
                    <w:tr2bl w:val="nil"/>
                  </w:tcBorders>
                  <w:vAlign w:val="center"/>
                </w:tcPr>
                <w:p w14:paraId="15481738">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0.3</w:t>
                  </w:r>
                </w:p>
              </w:tc>
              <w:tc>
                <w:tcPr>
                  <w:tcW w:w="1037" w:type="dxa"/>
                  <w:tcBorders>
                    <w:tl2br w:val="nil"/>
                    <w:tr2bl w:val="nil"/>
                  </w:tcBorders>
                  <w:vAlign w:val="center"/>
                </w:tcPr>
                <w:p w14:paraId="1D1304E3">
                  <w:pPr>
                    <w:widowControl/>
                    <w:adjustRightIn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w:t>
                  </w:r>
                </w:p>
              </w:tc>
              <w:tc>
                <w:tcPr>
                  <w:tcW w:w="1146" w:type="dxa"/>
                  <w:tcBorders>
                    <w:tl2br w:val="nil"/>
                    <w:tr2bl w:val="nil"/>
                  </w:tcBorders>
                  <w:vAlign w:val="center"/>
                </w:tcPr>
                <w:p w14:paraId="3884F4E2">
                  <w:pPr>
                    <w:widowControl/>
                    <w:adjustRightInd w:val="0"/>
                    <w:jc w:val="center"/>
                    <w:textAlignment w:val="center"/>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达标</w:t>
                  </w:r>
                </w:p>
              </w:tc>
            </w:tr>
          </w:tbl>
          <w:p w14:paraId="53EE53DF">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根据统计结果分析，202</w:t>
            </w: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lang w:eastAsia="zh-CN"/>
              </w:rPr>
              <w:t>年</w:t>
            </w:r>
            <w:r>
              <w:rPr>
                <w:rFonts w:hint="eastAsia" w:ascii="Times New Roman" w:hAnsi="Times New Roman" w:eastAsia="宋体" w:cs="Times New Roman"/>
                <w:color w:val="auto"/>
                <w:sz w:val="24"/>
                <w:szCs w:val="24"/>
                <w:highlight w:val="none"/>
                <w:lang w:eastAsia="zh-CN"/>
              </w:rPr>
              <w:t>长治市潞城区</w:t>
            </w:r>
            <w:r>
              <w:rPr>
                <w:rFonts w:ascii="Times New Roman" w:hAnsi="Times New Roman" w:eastAsia="宋体" w:cs="Times New Roman"/>
                <w:color w:val="auto"/>
                <w:sz w:val="24"/>
                <w:szCs w:val="24"/>
                <w:highlight w:val="none"/>
                <w:lang w:eastAsia="zh-CN"/>
              </w:rPr>
              <w:t>6项基本污染物中</w:t>
            </w:r>
            <w:r>
              <w:rPr>
                <w:rFonts w:hint="eastAsia" w:ascii="Times New Roman" w:hAnsi="Times New Roman" w:eastAsia="宋体" w:cs="Times New Roman"/>
                <w:color w:val="auto"/>
                <w:sz w:val="24"/>
                <w:szCs w:val="24"/>
                <w:highlight w:val="none"/>
                <w:lang w:val="en-US" w:eastAsia="zh-CN"/>
              </w:rPr>
              <w:t>O</w:t>
            </w:r>
            <w:r>
              <w:rPr>
                <w:rFonts w:hint="eastAsia" w:ascii="Times New Roman" w:hAnsi="Times New Roman" w:eastAsia="宋体" w:cs="Times New Roman"/>
                <w:color w:val="auto"/>
                <w:sz w:val="24"/>
                <w:szCs w:val="24"/>
                <w:highlight w:val="none"/>
                <w:vertAlign w:val="subscript"/>
                <w:lang w:val="en-US" w:eastAsia="zh-CN"/>
              </w:rPr>
              <w:t>3</w:t>
            </w:r>
            <w:r>
              <w:rPr>
                <w:rFonts w:hint="eastAsia" w:ascii="Times New Roman" w:hAnsi="Times New Roman" w:eastAsia="宋体" w:cs="Times New Roman"/>
                <w:color w:val="auto"/>
                <w:sz w:val="24"/>
                <w:szCs w:val="24"/>
                <w:highlight w:val="none"/>
                <w:lang w:val="en-US" w:eastAsia="zh-CN"/>
              </w:rPr>
              <w:t>、</w:t>
            </w:r>
            <w:r>
              <w:rPr>
                <w:rFonts w:ascii="Times New Roman" w:hAnsi="Times New Roman" w:eastAsia="宋体" w:cs="Times New Roman"/>
                <w:color w:val="auto"/>
                <w:sz w:val="24"/>
                <w:szCs w:val="24"/>
                <w:highlight w:val="none"/>
                <w:lang w:eastAsia="zh-CN"/>
              </w:rPr>
              <w:t>PM</w:t>
            </w:r>
            <w:r>
              <w:rPr>
                <w:rFonts w:hint="eastAsia" w:ascii="Times New Roman" w:hAnsi="Times New Roman" w:eastAsia="宋体" w:cs="Times New Roman"/>
                <w:color w:val="auto"/>
                <w:sz w:val="24"/>
                <w:szCs w:val="24"/>
                <w:highlight w:val="none"/>
                <w:vertAlign w:val="subscript"/>
                <w:lang w:val="en-US" w:eastAsia="zh-CN"/>
              </w:rPr>
              <w:t>10</w:t>
            </w:r>
            <w:r>
              <w:rPr>
                <w:rFonts w:ascii="Times New Roman" w:hAnsi="Times New Roman" w:eastAsia="宋体" w:cs="Times New Roman"/>
                <w:color w:val="auto"/>
                <w:sz w:val="24"/>
                <w:szCs w:val="24"/>
                <w:highlight w:val="none"/>
                <w:lang w:eastAsia="zh-CN"/>
              </w:rPr>
              <w:t>、PM</w:t>
            </w:r>
            <w:r>
              <w:rPr>
                <w:rFonts w:ascii="Times New Roman" w:hAnsi="Times New Roman" w:eastAsia="宋体" w:cs="Times New Roman"/>
                <w:color w:val="auto"/>
                <w:sz w:val="24"/>
                <w:szCs w:val="24"/>
                <w:highlight w:val="none"/>
                <w:vertAlign w:val="subscript"/>
                <w:lang w:eastAsia="zh-CN"/>
              </w:rPr>
              <w:t>2.5</w:t>
            </w:r>
            <w:r>
              <w:rPr>
                <w:rFonts w:ascii="Times New Roman" w:hAnsi="Times New Roman" w:eastAsia="宋体" w:cs="Times New Roman"/>
                <w:color w:val="auto"/>
                <w:sz w:val="24"/>
                <w:szCs w:val="24"/>
                <w:highlight w:val="none"/>
                <w:lang w:eastAsia="zh-CN"/>
              </w:rPr>
              <w:t>年均浓度出现超标</w:t>
            </w:r>
            <w:r>
              <w:rPr>
                <w:rFonts w:hint="eastAsia" w:ascii="Times New Roman" w:hAnsi="Times New Roman" w:eastAsia="宋体" w:cs="Times New Roman"/>
                <w:color w:val="auto"/>
                <w:sz w:val="24"/>
                <w:szCs w:val="24"/>
                <w:highlight w:val="none"/>
                <w:lang w:eastAsia="zh-CN"/>
              </w:rPr>
              <w:t>，特征因子TSP达标，</w:t>
            </w:r>
            <w:r>
              <w:rPr>
                <w:rFonts w:hint="eastAsia" w:ascii="Times New Roman" w:hAnsi="Times New Roman" w:eastAsia="宋体" w:cs="Times New Roman"/>
                <w:color w:val="auto"/>
                <w:sz w:val="24"/>
                <w:szCs w:val="24"/>
                <w:highlight w:val="none"/>
                <w:lang w:val="en-US" w:eastAsia="zh-CN"/>
              </w:rPr>
              <w:t>因此2023年度长治市潞城区为不达标区</w:t>
            </w:r>
            <w:r>
              <w:rPr>
                <w:rFonts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超标原因</w:t>
            </w:r>
            <w:r>
              <w:rPr>
                <w:rFonts w:ascii="Times New Roman" w:hAnsi="Times New Roman" w:eastAsia="宋体" w:cs="Times New Roman"/>
                <w:color w:val="auto"/>
                <w:sz w:val="24"/>
                <w:szCs w:val="24"/>
                <w:highlight w:val="none"/>
                <w:lang w:eastAsia="zh-CN"/>
              </w:rPr>
              <w:t>可能是受工业区内工业企业生产排放污染物所致，同时光照时间和强度、气象条件也</w:t>
            </w:r>
            <w:r>
              <w:rPr>
                <w:rFonts w:hint="eastAsia" w:ascii="Times New Roman" w:hAnsi="Times New Roman" w:eastAsia="宋体" w:cs="Times New Roman"/>
                <w:color w:val="auto"/>
                <w:sz w:val="24"/>
                <w:szCs w:val="24"/>
                <w:highlight w:val="none"/>
                <w:lang w:val="en-US" w:eastAsia="zh-CN"/>
              </w:rPr>
              <w:t>是超标因素</w:t>
            </w:r>
            <w:r>
              <w:rPr>
                <w:rFonts w:ascii="Times New Roman" w:hAnsi="Times New Roman" w:eastAsia="宋体" w:cs="Times New Roman"/>
                <w:color w:val="auto"/>
                <w:sz w:val="24"/>
                <w:szCs w:val="24"/>
                <w:highlight w:val="none"/>
                <w:lang w:eastAsia="zh-CN"/>
              </w:rPr>
              <w:t>。</w:t>
            </w:r>
          </w:p>
          <w:p w14:paraId="34680D17">
            <w:pPr>
              <w:spacing w:line="360" w:lineRule="auto"/>
              <w:ind w:firstLine="482"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3.2 地表水环境 </w:t>
            </w:r>
          </w:p>
          <w:p w14:paraId="621124A8">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本项目最近地表水为项目</w:t>
            </w:r>
            <w:r>
              <w:rPr>
                <w:rFonts w:hint="eastAsia" w:ascii="Times New Roman" w:hAnsi="Times New Roman" w:eastAsia="宋体" w:cs="Times New Roman"/>
                <w:color w:val="auto"/>
                <w:sz w:val="24"/>
                <w:szCs w:val="24"/>
                <w:highlight w:val="none"/>
                <w:lang w:val="en-US" w:eastAsia="zh-CN"/>
              </w:rPr>
              <w:t>东侧3.05km的浊漳河</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eastAsia="zh-CN"/>
              </w:rPr>
              <w:t>经查阅《山西省地表水功能区划》（DB14/67-2019）可知，浊漳河（漳泽水库-与北源汇合）为V类水质要求，水环境功能为农业用水保护，因此本项目</w:t>
            </w:r>
            <w:r>
              <w:rPr>
                <w:rFonts w:hint="eastAsia" w:ascii="Times New Roman" w:hAnsi="Times New Roman" w:eastAsia="宋体" w:cs="Times New Roman"/>
                <w:color w:val="auto"/>
                <w:sz w:val="24"/>
                <w:szCs w:val="24"/>
                <w:lang w:val="en-US" w:eastAsia="zh-CN"/>
              </w:rPr>
              <w:t>收集了</w:t>
            </w:r>
            <w:r>
              <w:rPr>
                <w:rFonts w:hint="eastAsia" w:ascii="Times New Roman" w:hAnsi="Times New Roman" w:eastAsia="宋体" w:cs="Times New Roman"/>
                <w:color w:val="auto"/>
                <w:sz w:val="24"/>
                <w:szCs w:val="24"/>
                <w:lang w:eastAsia="zh-CN"/>
              </w:rPr>
              <w:t>长治市生态环境局官网发布的地表水监测报告监测结论</w:t>
            </w:r>
            <w:r>
              <w:rPr>
                <w:rFonts w:hint="eastAsia" w:ascii="Times New Roman" w:hAnsi="Times New Roman" w:eastAsia="宋体" w:cs="Times New Roman"/>
                <w:color w:val="auto"/>
                <w:sz w:val="24"/>
                <w:szCs w:val="24"/>
                <w:lang w:val="en-US" w:eastAsia="zh-CN"/>
              </w:rPr>
              <w:t>如下：</w:t>
            </w:r>
          </w:p>
          <w:p w14:paraId="0608FAC2">
            <w:pPr>
              <w:jc w:val="center"/>
              <w:rPr>
                <w:rFonts w:ascii="Times New Roman" w:hAnsi="Times New Roman" w:eastAsia="宋体" w:cs="Times New Roman"/>
                <w:b/>
                <w:bCs/>
                <w:color w:val="auto"/>
                <w:sz w:val="21"/>
                <w:szCs w:val="21"/>
                <w:lang w:eastAsia="zh-CN"/>
              </w:rPr>
            </w:pPr>
            <w:r>
              <w:rPr>
                <w:rFonts w:ascii="Times New Roman" w:hAnsi="Times New Roman" w:eastAsia="宋体" w:cs="Times New Roman"/>
                <w:b/>
                <w:bCs/>
                <w:color w:val="auto"/>
                <w:sz w:val="21"/>
                <w:szCs w:val="21"/>
                <w:lang w:eastAsia="zh-CN"/>
              </w:rPr>
              <w:t>表</w:t>
            </w:r>
            <w:r>
              <w:rPr>
                <w:rFonts w:ascii="Times New Roman" w:hAnsi="Times New Roman" w:eastAsia="宋体" w:cs="Times New Roman"/>
                <w:b/>
                <w:bCs/>
                <w:color w:val="auto"/>
                <w:sz w:val="21"/>
                <w:szCs w:val="21"/>
                <w:lang w:val="en-US" w:eastAsia="zh-CN"/>
              </w:rPr>
              <w:t>3.</w:t>
            </w:r>
            <w:r>
              <w:rPr>
                <w:rFonts w:hint="eastAsia" w:ascii="Times New Roman" w:hAnsi="Times New Roman" w:eastAsia="宋体" w:cs="Times New Roman"/>
                <w:b/>
                <w:bCs/>
                <w:color w:val="auto"/>
                <w:sz w:val="21"/>
                <w:szCs w:val="21"/>
                <w:lang w:val="en-US" w:eastAsia="zh-CN"/>
              </w:rPr>
              <w:t>2</w:t>
            </w:r>
            <w:r>
              <w:rPr>
                <w:rFonts w:ascii="Times New Roman" w:hAnsi="Times New Roman" w:eastAsia="宋体" w:cs="Times New Roman"/>
                <w:b/>
                <w:bCs/>
                <w:color w:val="auto"/>
                <w:sz w:val="21"/>
                <w:szCs w:val="21"/>
                <w:lang w:val="en-US" w:eastAsia="zh-CN"/>
              </w:rPr>
              <w:t>-</w:t>
            </w:r>
            <w:r>
              <w:rPr>
                <w:rFonts w:hint="eastAsia" w:ascii="Times New Roman" w:hAnsi="Times New Roman" w:eastAsia="宋体" w:cs="Times New Roman"/>
                <w:b/>
                <w:bCs/>
                <w:color w:val="auto"/>
                <w:sz w:val="21"/>
                <w:szCs w:val="21"/>
                <w:lang w:val="en-US" w:eastAsia="zh-CN"/>
              </w:rPr>
              <w:t xml:space="preserve">1 </w:t>
            </w:r>
            <w:r>
              <w:rPr>
                <w:rFonts w:ascii="Times New Roman" w:hAnsi="Times New Roman" w:eastAsia="宋体" w:cs="Times New Roman"/>
                <w:b/>
                <w:bCs/>
                <w:color w:val="auto"/>
                <w:sz w:val="21"/>
                <w:szCs w:val="21"/>
                <w:lang w:eastAsia="zh-CN"/>
              </w:rPr>
              <w:t xml:space="preserve"> 202</w:t>
            </w:r>
            <w:r>
              <w:rPr>
                <w:rFonts w:hint="eastAsia" w:ascii="Times New Roman" w:hAnsi="Times New Roman" w:eastAsia="宋体" w:cs="Times New Roman"/>
                <w:b/>
                <w:bCs/>
                <w:color w:val="auto"/>
                <w:sz w:val="21"/>
                <w:szCs w:val="21"/>
                <w:lang w:val="en-US" w:eastAsia="zh-CN"/>
              </w:rPr>
              <w:t>3</w:t>
            </w:r>
            <w:r>
              <w:rPr>
                <w:rFonts w:ascii="Times New Roman" w:hAnsi="Times New Roman" w:eastAsia="宋体" w:cs="Times New Roman"/>
                <w:b/>
                <w:bCs/>
                <w:color w:val="auto"/>
                <w:sz w:val="21"/>
                <w:szCs w:val="21"/>
                <w:lang w:eastAsia="zh-CN"/>
              </w:rPr>
              <w:t>年1-12月</w:t>
            </w:r>
            <w:r>
              <w:rPr>
                <w:rFonts w:hint="eastAsia" w:ascii="Times New Roman" w:hAnsi="Times New Roman" w:eastAsia="宋体" w:cs="Times New Roman"/>
                <w:b/>
                <w:bCs/>
                <w:color w:val="auto"/>
                <w:sz w:val="21"/>
                <w:szCs w:val="21"/>
                <w:lang w:eastAsia="zh-CN"/>
              </w:rPr>
              <w:t>浊漳</w:t>
            </w:r>
            <w:r>
              <w:rPr>
                <w:rFonts w:hint="eastAsia" w:ascii="Times New Roman" w:hAnsi="Times New Roman" w:eastAsia="宋体" w:cs="Times New Roman"/>
                <w:b/>
                <w:bCs/>
                <w:color w:val="auto"/>
                <w:sz w:val="21"/>
                <w:szCs w:val="21"/>
                <w:lang w:val="en-US" w:eastAsia="zh-CN"/>
              </w:rPr>
              <w:t>南源</w:t>
            </w:r>
            <w:r>
              <w:rPr>
                <w:rFonts w:ascii="Times New Roman" w:hAnsi="Times New Roman" w:eastAsia="宋体" w:cs="Times New Roman"/>
                <w:b/>
                <w:bCs/>
                <w:color w:val="auto"/>
                <w:sz w:val="21"/>
                <w:szCs w:val="21"/>
                <w:lang w:eastAsia="zh-CN"/>
              </w:rPr>
              <w:t>水质类别统计表</w:t>
            </w:r>
          </w:p>
          <w:tbl>
            <w:tblPr>
              <w:tblStyle w:val="33"/>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1190"/>
              <w:gridCol w:w="1566"/>
              <w:gridCol w:w="1378"/>
              <w:gridCol w:w="1379"/>
              <w:gridCol w:w="1379"/>
            </w:tblGrid>
            <w:tr w14:paraId="3AC90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77D21847">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日期</w:t>
                  </w:r>
                </w:p>
              </w:tc>
              <w:tc>
                <w:tcPr>
                  <w:tcW w:w="1190" w:type="dxa"/>
                  <w:tcBorders>
                    <w:tl2br w:val="nil"/>
                    <w:tr2bl w:val="nil"/>
                  </w:tcBorders>
                  <w:vAlign w:val="center"/>
                </w:tcPr>
                <w:p w14:paraId="23C25221">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河流名称</w:t>
                  </w:r>
                </w:p>
              </w:tc>
              <w:tc>
                <w:tcPr>
                  <w:tcW w:w="1566" w:type="dxa"/>
                  <w:tcBorders>
                    <w:tl2br w:val="nil"/>
                    <w:tr2bl w:val="nil"/>
                  </w:tcBorders>
                  <w:vAlign w:val="center"/>
                </w:tcPr>
                <w:p w14:paraId="79E80C39">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断面名称</w:t>
                  </w:r>
                </w:p>
              </w:tc>
              <w:tc>
                <w:tcPr>
                  <w:tcW w:w="1378" w:type="dxa"/>
                  <w:tcBorders>
                    <w:tl2br w:val="nil"/>
                    <w:tr2bl w:val="nil"/>
                  </w:tcBorders>
                  <w:vAlign w:val="center"/>
                </w:tcPr>
                <w:p w14:paraId="5A5D640C">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水质类别</w:t>
                  </w:r>
                </w:p>
              </w:tc>
              <w:tc>
                <w:tcPr>
                  <w:tcW w:w="1379" w:type="dxa"/>
                  <w:tcBorders>
                    <w:tl2br w:val="nil"/>
                    <w:tr2bl w:val="nil"/>
                  </w:tcBorders>
                  <w:vAlign w:val="center"/>
                </w:tcPr>
                <w:p w14:paraId="08DDA13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水质要求</w:t>
                  </w:r>
                </w:p>
              </w:tc>
              <w:tc>
                <w:tcPr>
                  <w:tcW w:w="1379" w:type="dxa"/>
                  <w:tcBorders>
                    <w:tl2br w:val="nil"/>
                    <w:tr2bl w:val="nil"/>
                  </w:tcBorders>
                  <w:vAlign w:val="center"/>
                </w:tcPr>
                <w:p w14:paraId="4DE60C9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达标情况</w:t>
                  </w:r>
                </w:p>
              </w:tc>
            </w:tr>
            <w:tr w14:paraId="24950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08B8064C">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.1</w:t>
                  </w:r>
                </w:p>
              </w:tc>
              <w:tc>
                <w:tcPr>
                  <w:tcW w:w="1190" w:type="dxa"/>
                  <w:tcBorders>
                    <w:tl2br w:val="nil"/>
                    <w:tr2bl w:val="nil"/>
                  </w:tcBorders>
                  <w:vAlign w:val="center"/>
                </w:tcPr>
                <w:p w14:paraId="08C2A65B">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6E3EA54A">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7D54D1E9">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w:t>
                  </w:r>
                  <w:r>
                    <w:rPr>
                      <w:rFonts w:ascii="Times New Roman" w:hAnsi="Times New Roman" w:eastAsia="宋体" w:cs="Times New Roman"/>
                      <w:color w:val="auto"/>
                      <w:sz w:val="21"/>
                      <w:szCs w:val="21"/>
                      <w:lang w:eastAsia="zh-CN"/>
                    </w:rPr>
                    <w:t>类</w:t>
                  </w:r>
                </w:p>
              </w:tc>
              <w:tc>
                <w:tcPr>
                  <w:tcW w:w="1379" w:type="dxa"/>
                  <w:tcBorders>
                    <w:tl2br w:val="nil"/>
                    <w:tr2bl w:val="nil"/>
                  </w:tcBorders>
                  <w:vAlign w:val="center"/>
                </w:tcPr>
                <w:p w14:paraId="2A65FB5E">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65485E6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44B75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70F22F5C">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2</w:t>
                  </w:r>
                </w:p>
              </w:tc>
              <w:tc>
                <w:tcPr>
                  <w:tcW w:w="1190" w:type="dxa"/>
                  <w:tcBorders>
                    <w:tl2br w:val="nil"/>
                    <w:tr2bl w:val="nil"/>
                  </w:tcBorders>
                  <w:vAlign w:val="center"/>
                </w:tcPr>
                <w:p w14:paraId="2D100620">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665B2FB2">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573BA2C1">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w:t>
                  </w:r>
                  <w:r>
                    <w:rPr>
                      <w:rFonts w:ascii="Times New Roman" w:hAnsi="Times New Roman" w:eastAsia="宋体" w:cs="Times New Roman"/>
                      <w:color w:val="auto"/>
                      <w:sz w:val="21"/>
                      <w:szCs w:val="21"/>
                      <w:lang w:eastAsia="zh-CN"/>
                    </w:rPr>
                    <w:t>类</w:t>
                  </w:r>
                </w:p>
              </w:tc>
              <w:tc>
                <w:tcPr>
                  <w:tcW w:w="1379" w:type="dxa"/>
                  <w:tcBorders>
                    <w:tl2br w:val="nil"/>
                    <w:tr2bl w:val="nil"/>
                  </w:tcBorders>
                  <w:vAlign w:val="center"/>
                </w:tcPr>
                <w:p w14:paraId="7C4ECA3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646676EE">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15A82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4582FEAA">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3</w:t>
                  </w:r>
                </w:p>
              </w:tc>
              <w:tc>
                <w:tcPr>
                  <w:tcW w:w="1190" w:type="dxa"/>
                  <w:tcBorders>
                    <w:tl2br w:val="nil"/>
                    <w:tr2bl w:val="nil"/>
                  </w:tcBorders>
                  <w:vAlign w:val="center"/>
                </w:tcPr>
                <w:p w14:paraId="5D23FD4F">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4F9417BA">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2C36D5A7">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I类</w:t>
                  </w:r>
                </w:p>
              </w:tc>
              <w:tc>
                <w:tcPr>
                  <w:tcW w:w="1379" w:type="dxa"/>
                  <w:tcBorders>
                    <w:tl2br w:val="nil"/>
                    <w:tr2bl w:val="nil"/>
                  </w:tcBorders>
                  <w:vAlign w:val="center"/>
                </w:tcPr>
                <w:p w14:paraId="592CD4C9">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689C5FEB">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02E8D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5C00DB27">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4</w:t>
                  </w:r>
                </w:p>
              </w:tc>
              <w:tc>
                <w:tcPr>
                  <w:tcW w:w="1190" w:type="dxa"/>
                  <w:tcBorders>
                    <w:tl2br w:val="nil"/>
                    <w:tr2bl w:val="nil"/>
                  </w:tcBorders>
                  <w:vAlign w:val="center"/>
                </w:tcPr>
                <w:p w14:paraId="7D5E9616">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09B00B6C">
                  <w:pPr>
                    <w:widowControl/>
                    <w:adjustRightInd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79685442">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I类</w:t>
                  </w:r>
                </w:p>
              </w:tc>
              <w:tc>
                <w:tcPr>
                  <w:tcW w:w="1379" w:type="dxa"/>
                  <w:tcBorders>
                    <w:tl2br w:val="nil"/>
                    <w:tr2bl w:val="nil"/>
                  </w:tcBorders>
                  <w:vAlign w:val="center"/>
                </w:tcPr>
                <w:p w14:paraId="37E91E69">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02B5CFF1">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53734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1F9F63BA">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5</w:t>
                  </w:r>
                </w:p>
              </w:tc>
              <w:tc>
                <w:tcPr>
                  <w:tcW w:w="1190" w:type="dxa"/>
                  <w:tcBorders>
                    <w:tl2br w:val="nil"/>
                    <w:tr2bl w:val="nil"/>
                  </w:tcBorders>
                  <w:vAlign w:val="center"/>
                </w:tcPr>
                <w:p w14:paraId="140EF1D8">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5217598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7FD0C721">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II类</w:t>
                  </w:r>
                </w:p>
              </w:tc>
              <w:tc>
                <w:tcPr>
                  <w:tcW w:w="1379" w:type="dxa"/>
                  <w:tcBorders>
                    <w:tl2br w:val="nil"/>
                    <w:tr2bl w:val="nil"/>
                  </w:tcBorders>
                  <w:vAlign w:val="center"/>
                </w:tcPr>
                <w:p w14:paraId="65D94CCE">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33E6C569">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72E2B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329CDA21">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6</w:t>
                  </w:r>
                </w:p>
              </w:tc>
              <w:tc>
                <w:tcPr>
                  <w:tcW w:w="1190" w:type="dxa"/>
                  <w:tcBorders>
                    <w:tl2br w:val="nil"/>
                    <w:tr2bl w:val="nil"/>
                  </w:tcBorders>
                  <w:vAlign w:val="center"/>
                </w:tcPr>
                <w:p w14:paraId="156CBB4F">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17BD2B1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72BE074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II类</w:t>
                  </w:r>
                </w:p>
              </w:tc>
              <w:tc>
                <w:tcPr>
                  <w:tcW w:w="1379" w:type="dxa"/>
                  <w:tcBorders>
                    <w:tl2br w:val="nil"/>
                    <w:tr2bl w:val="nil"/>
                  </w:tcBorders>
                  <w:vAlign w:val="center"/>
                </w:tcPr>
                <w:p w14:paraId="08B8F235">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6DF5E245">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2ED97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44984C40">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7</w:t>
                  </w:r>
                </w:p>
              </w:tc>
              <w:tc>
                <w:tcPr>
                  <w:tcW w:w="1190" w:type="dxa"/>
                  <w:tcBorders>
                    <w:tl2br w:val="nil"/>
                    <w:tr2bl w:val="nil"/>
                  </w:tcBorders>
                  <w:vAlign w:val="center"/>
                </w:tcPr>
                <w:p w14:paraId="6A82AF6A">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22C5E4FE">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645706E1">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w:t>
                  </w:r>
                  <w:r>
                    <w:rPr>
                      <w:rFonts w:hint="eastAsia" w:ascii="Times New Roman" w:hAnsi="Times New Roman" w:eastAsia="宋体" w:cs="Times New Roman"/>
                      <w:color w:val="auto"/>
                      <w:sz w:val="21"/>
                      <w:szCs w:val="21"/>
                      <w:lang w:val="en-US" w:eastAsia="zh-CN"/>
                    </w:rPr>
                    <w:t>I</w:t>
                  </w:r>
                  <w:r>
                    <w:rPr>
                      <w:rFonts w:hint="eastAsia" w:ascii="Times New Roman" w:hAnsi="Times New Roman" w:eastAsia="宋体" w:cs="Times New Roman"/>
                      <w:color w:val="auto"/>
                      <w:sz w:val="21"/>
                      <w:szCs w:val="21"/>
                      <w:lang w:eastAsia="zh-CN"/>
                    </w:rPr>
                    <w:t>类</w:t>
                  </w:r>
                </w:p>
              </w:tc>
              <w:tc>
                <w:tcPr>
                  <w:tcW w:w="1379" w:type="dxa"/>
                  <w:tcBorders>
                    <w:tl2br w:val="nil"/>
                    <w:tr2bl w:val="nil"/>
                  </w:tcBorders>
                  <w:vAlign w:val="center"/>
                </w:tcPr>
                <w:p w14:paraId="43198106">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40AE9876">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1542F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6B047E6E">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8</w:t>
                  </w:r>
                </w:p>
              </w:tc>
              <w:tc>
                <w:tcPr>
                  <w:tcW w:w="1190" w:type="dxa"/>
                  <w:tcBorders>
                    <w:tl2br w:val="nil"/>
                    <w:tr2bl w:val="nil"/>
                  </w:tcBorders>
                  <w:vAlign w:val="center"/>
                </w:tcPr>
                <w:p w14:paraId="0AD23484">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70E51C77">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000FF978">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w:t>
                  </w:r>
                  <w:r>
                    <w:rPr>
                      <w:rFonts w:hint="eastAsia" w:ascii="Times New Roman" w:hAnsi="Times New Roman" w:eastAsia="宋体" w:cs="Times New Roman"/>
                      <w:color w:val="auto"/>
                      <w:sz w:val="21"/>
                      <w:szCs w:val="21"/>
                      <w:lang w:val="en-US" w:eastAsia="zh-CN"/>
                    </w:rPr>
                    <w:t>I</w:t>
                  </w:r>
                  <w:r>
                    <w:rPr>
                      <w:rFonts w:hint="eastAsia" w:ascii="Times New Roman" w:hAnsi="Times New Roman" w:eastAsia="宋体" w:cs="Times New Roman"/>
                      <w:color w:val="auto"/>
                      <w:sz w:val="21"/>
                      <w:szCs w:val="21"/>
                      <w:lang w:eastAsia="zh-CN"/>
                    </w:rPr>
                    <w:t>类</w:t>
                  </w:r>
                </w:p>
              </w:tc>
              <w:tc>
                <w:tcPr>
                  <w:tcW w:w="1379" w:type="dxa"/>
                  <w:tcBorders>
                    <w:tl2br w:val="nil"/>
                    <w:tr2bl w:val="nil"/>
                  </w:tcBorders>
                  <w:vAlign w:val="center"/>
                </w:tcPr>
                <w:p w14:paraId="546C531A">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28652CCA">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45150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1CF28B06">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9</w:t>
                  </w:r>
                </w:p>
              </w:tc>
              <w:tc>
                <w:tcPr>
                  <w:tcW w:w="1190" w:type="dxa"/>
                  <w:tcBorders>
                    <w:tl2br w:val="nil"/>
                    <w:tr2bl w:val="nil"/>
                  </w:tcBorders>
                  <w:vAlign w:val="center"/>
                </w:tcPr>
                <w:p w14:paraId="4AD36A6A">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62474DED">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34732926">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II类</w:t>
                  </w:r>
                </w:p>
              </w:tc>
              <w:tc>
                <w:tcPr>
                  <w:tcW w:w="1379" w:type="dxa"/>
                  <w:tcBorders>
                    <w:tl2br w:val="nil"/>
                    <w:tr2bl w:val="nil"/>
                  </w:tcBorders>
                  <w:vAlign w:val="center"/>
                </w:tcPr>
                <w:p w14:paraId="62144ACB">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1941C154">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66A8C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76D78CCD">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10</w:t>
                  </w:r>
                </w:p>
              </w:tc>
              <w:tc>
                <w:tcPr>
                  <w:tcW w:w="1190" w:type="dxa"/>
                  <w:tcBorders>
                    <w:tl2br w:val="nil"/>
                    <w:tr2bl w:val="nil"/>
                  </w:tcBorders>
                  <w:vAlign w:val="center"/>
                </w:tcPr>
                <w:p w14:paraId="0F391EE3">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37D8A018">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6FAF7548">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II类</w:t>
                  </w:r>
                </w:p>
              </w:tc>
              <w:tc>
                <w:tcPr>
                  <w:tcW w:w="1379" w:type="dxa"/>
                  <w:tcBorders>
                    <w:tl2br w:val="nil"/>
                    <w:tr2bl w:val="nil"/>
                  </w:tcBorders>
                  <w:vAlign w:val="center"/>
                </w:tcPr>
                <w:p w14:paraId="1C6BF21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0F7161FD">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2DFE7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6CA03A33">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.1</w:t>
                  </w:r>
                  <w:r>
                    <w:rPr>
                      <w:rFonts w:hint="eastAsia" w:ascii="Times New Roman" w:hAnsi="Times New Roman" w:eastAsia="宋体" w:cs="Times New Roman"/>
                      <w:color w:val="auto"/>
                      <w:sz w:val="21"/>
                      <w:szCs w:val="21"/>
                      <w:lang w:eastAsia="zh-CN"/>
                    </w:rPr>
                    <w:t>1</w:t>
                  </w:r>
                </w:p>
              </w:tc>
              <w:tc>
                <w:tcPr>
                  <w:tcW w:w="1190" w:type="dxa"/>
                  <w:tcBorders>
                    <w:tl2br w:val="nil"/>
                    <w:tr2bl w:val="nil"/>
                  </w:tcBorders>
                  <w:vAlign w:val="center"/>
                </w:tcPr>
                <w:p w14:paraId="6EB034B6">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04043DFE">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693E42A1">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w:t>
                  </w:r>
                  <w:r>
                    <w:rPr>
                      <w:rFonts w:ascii="Times New Roman" w:hAnsi="Times New Roman" w:eastAsia="宋体" w:cs="Times New Roman"/>
                      <w:color w:val="auto"/>
                      <w:sz w:val="21"/>
                      <w:szCs w:val="21"/>
                      <w:lang w:eastAsia="zh-CN"/>
                    </w:rPr>
                    <w:t>类</w:t>
                  </w:r>
                </w:p>
              </w:tc>
              <w:tc>
                <w:tcPr>
                  <w:tcW w:w="1379" w:type="dxa"/>
                  <w:tcBorders>
                    <w:tl2br w:val="nil"/>
                    <w:tr2bl w:val="nil"/>
                  </w:tcBorders>
                  <w:vAlign w:val="center"/>
                </w:tcPr>
                <w:p w14:paraId="15F08722">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430C47AC">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r w14:paraId="6C5F4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78" w:type="dxa"/>
                  <w:tcBorders>
                    <w:tl2br w:val="nil"/>
                    <w:tr2bl w:val="nil"/>
                  </w:tcBorders>
                  <w:vAlign w:val="center"/>
                </w:tcPr>
                <w:p w14:paraId="49CA67D5">
                  <w:pPr>
                    <w:widowControl/>
                    <w:adjustRightInd w:val="0"/>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202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lang w:eastAsia="zh-CN"/>
                    </w:rPr>
                    <w:t>.1</w:t>
                  </w:r>
                  <w:r>
                    <w:rPr>
                      <w:rFonts w:hint="eastAsia" w:ascii="Times New Roman" w:hAnsi="Times New Roman" w:eastAsia="宋体" w:cs="Times New Roman"/>
                      <w:color w:val="auto"/>
                      <w:sz w:val="21"/>
                      <w:szCs w:val="21"/>
                      <w:lang w:eastAsia="zh-CN"/>
                    </w:rPr>
                    <w:t>2</w:t>
                  </w:r>
                </w:p>
              </w:tc>
              <w:tc>
                <w:tcPr>
                  <w:tcW w:w="1190" w:type="dxa"/>
                  <w:tcBorders>
                    <w:tl2br w:val="nil"/>
                    <w:tr2bl w:val="nil"/>
                  </w:tcBorders>
                  <w:vAlign w:val="center"/>
                </w:tcPr>
                <w:p w14:paraId="74E237A3">
                  <w:pPr>
                    <w:widowControl/>
                    <w:adjustRightIn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浊漳南源</w:t>
                  </w:r>
                </w:p>
              </w:tc>
              <w:tc>
                <w:tcPr>
                  <w:tcW w:w="1566" w:type="dxa"/>
                  <w:tcBorders>
                    <w:tl2br w:val="nil"/>
                    <w:tr2bl w:val="nil"/>
                  </w:tcBorders>
                  <w:vAlign w:val="center"/>
                </w:tcPr>
                <w:p w14:paraId="6D763FE0">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漳泽水库出口</w:t>
                  </w:r>
                </w:p>
              </w:tc>
              <w:tc>
                <w:tcPr>
                  <w:tcW w:w="1378" w:type="dxa"/>
                  <w:tcBorders>
                    <w:tl2br w:val="nil"/>
                    <w:tr2bl w:val="nil"/>
                  </w:tcBorders>
                  <w:vAlign w:val="center"/>
                </w:tcPr>
                <w:p w14:paraId="04CA82A8">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I</w:t>
                  </w:r>
                  <w:r>
                    <w:rPr>
                      <w:rFonts w:ascii="Times New Roman" w:hAnsi="Times New Roman" w:eastAsia="宋体" w:cs="Times New Roman"/>
                      <w:color w:val="auto"/>
                      <w:sz w:val="21"/>
                      <w:szCs w:val="21"/>
                      <w:lang w:eastAsia="zh-CN"/>
                    </w:rPr>
                    <w:t>类</w:t>
                  </w:r>
                </w:p>
              </w:tc>
              <w:tc>
                <w:tcPr>
                  <w:tcW w:w="1379" w:type="dxa"/>
                  <w:tcBorders>
                    <w:tl2br w:val="nil"/>
                    <w:tr2bl w:val="nil"/>
                  </w:tcBorders>
                  <w:vAlign w:val="center"/>
                </w:tcPr>
                <w:p w14:paraId="24032562">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V类</w:t>
                  </w:r>
                </w:p>
              </w:tc>
              <w:tc>
                <w:tcPr>
                  <w:tcW w:w="1379" w:type="dxa"/>
                  <w:tcBorders>
                    <w:tl2br w:val="nil"/>
                    <w:tr2bl w:val="nil"/>
                  </w:tcBorders>
                  <w:vAlign w:val="center"/>
                </w:tcPr>
                <w:p w14:paraId="0C5CF0D9">
                  <w:pPr>
                    <w:widowControl/>
                    <w:adjustRightInd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达标</w:t>
                  </w:r>
                </w:p>
              </w:tc>
            </w:tr>
          </w:tbl>
          <w:p w14:paraId="5AC546C2">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由上表统计结果可知，</w:t>
            </w:r>
            <w:r>
              <w:rPr>
                <w:rFonts w:hint="eastAsia" w:ascii="Times New Roman" w:hAnsi="Times New Roman" w:eastAsia="宋体" w:cs="Times New Roman"/>
                <w:color w:val="auto"/>
                <w:sz w:val="24"/>
                <w:szCs w:val="24"/>
                <w:lang w:eastAsia="zh-CN"/>
              </w:rPr>
              <w:t>浊漳</w:t>
            </w:r>
            <w:r>
              <w:rPr>
                <w:rFonts w:hint="eastAsia" w:ascii="Times New Roman" w:hAnsi="Times New Roman" w:eastAsia="宋体" w:cs="Times New Roman"/>
                <w:color w:val="auto"/>
                <w:sz w:val="24"/>
                <w:szCs w:val="24"/>
                <w:lang w:val="en-US" w:eastAsia="zh-CN"/>
              </w:rPr>
              <w:t>南源</w:t>
            </w:r>
            <w:r>
              <w:rPr>
                <w:rFonts w:ascii="Times New Roman" w:hAnsi="Times New Roman" w:eastAsia="宋体" w:cs="Times New Roman"/>
                <w:color w:val="auto"/>
                <w:sz w:val="24"/>
                <w:szCs w:val="24"/>
                <w:lang w:eastAsia="zh-CN"/>
              </w:rPr>
              <w:t>在202</w:t>
            </w:r>
            <w:r>
              <w:rPr>
                <w:rFonts w:hint="eastAsia" w:ascii="Times New Roman" w:hAnsi="Times New Roman" w:eastAsia="宋体" w:cs="Times New Roman"/>
                <w:color w:val="auto"/>
                <w:sz w:val="24"/>
                <w:szCs w:val="24"/>
                <w:lang w:val="en-US" w:eastAsia="zh-CN"/>
              </w:rPr>
              <w:t>3</w:t>
            </w:r>
            <w:r>
              <w:rPr>
                <w:rFonts w:ascii="Times New Roman" w:hAnsi="Times New Roman" w:eastAsia="宋体" w:cs="Times New Roman"/>
                <w:color w:val="auto"/>
                <w:sz w:val="24"/>
                <w:szCs w:val="24"/>
                <w:lang w:eastAsia="zh-CN"/>
              </w:rPr>
              <w:t>年1-12月水质均可达《地表水环境质量标准》（GB 3838-2002）中</w:t>
            </w:r>
            <w:r>
              <w:rPr>
                <w:rFonts w:hint="eastAsia" w:ascii="Times New Roman" w:hAnsi="Times New Roman" w:eastAsia="宋体" w:cs="Times New Roman"/>
                <w:color w:val="auto"/>
                <w:sz w:val="24"/>
                <w:szCs w:val="24"/>
                <w:lang w:val="en-US" w:eastAsia="zh-CN"/>
              </w:rPr>
              <w:t>V</w:t>
            </w:r>
            <w:r>
              <w:rPr>
                <w:rFonts w:hint="eastAsia" w:ascii="Times New Roman" w:hAnsi="Times New Roman" w:eastAsia="宋体" w:cs="Times New Roman"/>
                <w:color w:val="auto"/>
                <w:sz w:val="24"/>
                <w:szCs w:val="24"/>
                <w:lang w:eastAsia="zh-CN"/>
              </w:rPr>
              <w:t>类</w:t>
            </w:r>
            <w:r>
              <w:rPr>
                <w:rFonts w:ascii="Times New Roman" w:hAnsi="Times New Roman" w:eastAsia="宋体" w:cs="Times New Roman"/>
                <w:color w:val="auto"/>
                <w:sz w:val="24"/>
                <w:szCs w:val="24"/>
                <w:lang w:eastAsia="zh-CN"/>
              </w:rPr>
              <w:t>标准，水质状况</w:t>
            </w:r>
            <w:r>
              <w:rPr>
                <w:rFonts w:hint="eastAsia" w:ascii="Times New Roman" w:hAnsi="Times New Roman" w:eastAsia="宋体" w:cs="Times New Roman"/>
                <w:color w:val="auto"/>
                <w:sz w:val="24"/>
                <w:szCs w:val="24"/>
                <w:lang w:eastAsia="zh-CN"/>
              </w:rPr>
              <w:t>良好。</w:t>
            </w:r>
          </w:p>
          <w:p w14:paraId="573A7A8B">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both"/>
              <w:textAlignment w:val="auto"/>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 xml:space="preserve">3.3 声环境 </w:t>
            </w:r>
          </w:p>
          <w:p w14:paraId="340EC75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本项目厂界外50m</w:t>
            </w:r>
            <w:r>
              <w:rPr>
                <w:rFonts w:hint="eastAsia" w:ascii="Times New Roman" w:hAnsi="Times New Roman" w:eastAsia="宋体" w:cs="Times New Roman"/>
                <w:color w:val="auto"/>
                <w:sz w:val="24"/>
                <w:szCs w:val="24"/>
                <w:lang w:val="en-US" w:eastAsia="zh-CN"/>
              </w:rPr>
              <w:t>内</w:t>
            </w:r>
            <w:r>
              <w:rPr>
                <w:rFonts w:hint="eastAsia" w:ascii="Times New Roman" w:hAnsi="Times New Roman" w:eastAsia="宋体" w:cs="Times New Roman"/>
                <w:color w:val="auto"/>
                <w:sz w:val="24"/>
                <w:szCs w:val="24"/>
                <w:lang w:eastAsia="zh-CN"/>
              </w:rPr>
              <w:t>无声环境保护目标，因此可不进行声环境调查。</w:t>
            </w:r>
          </w:p>
          <w:p w14:paraId="56CE37A4">
            <w:pPr>
              <w:spacing w:line="360" w:lineRule="auto"/>
              <w:ind w:left="480" w:leftChars="218" w:firstLine="46" w:firstLineChars="19"/>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val="en-US" w:eastAsia="zh-CN"/>
              </w:rPr>
              <w:t xml:space="preserve">3.4 </w:t>
            </w:r>
            <w:r>
              <w:rPr>
                <w:rFonts w:hint="eastAsia" w:ascii="Times New Roman" w:hAnsi="Times New Roman" w:eastAsia="宋体" w:cs="Times New Roman"/>
                <w:b/>
                <w:color w:val="auto"/>
                <w:sz w:val="24"/>
                <w:szCs w:val="24"/>
                <w:lang w:eastAsia="zh-CN"/>
              </w:rPr>
              <w:t>生态环境</w:t>
            </w:r>
          </w:p>
          <w:p w14:paraId="57534D56">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本项目在原有工矿用地范围内建设，不新增用地</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因此可不进行生态环境现状调查</w:t>
            </w:r>
            <w:r>
              <w:rPr>
                <w:rFonts w:hint="eastAsia" w:ascii="Times New Roman" w:hAnsi="Times New Roman" w:eastAsia="宋体" w:cs="Times New Roman"/>
                <w:color w:val="auto"/>
                <w:sz w:val="24"/>
                <w:szCs w:val="24"/>
                <w:lang w:eastAsia="zh-CN"/>
              </w:rPr>
              <w:t>。</w:t>
            </w:r>
          </w:p>
          <w:p w14:paraId="69F74BF4">
            <w:pPr>
              <w:spacing w:line="360" w:lineRule="auto"/>
              <w:ind w:firstLine="482"/>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val="en-US" w:eastAsia="zh-CN"/>
              </w:rPr>
              <w:t>3.5</w:t>
            </w:r>
            <w:r>
              <w:rPr>
                <w:rFonts w:hint="eastAsia" w:ascii="Times New Roman" w:hAnsi="Times New Roman" w:eastAsia="宋体" w:cs="Times New Roman"/>
                <w:b/>
                <w:color w:val="auto"/>
                <w:sz w:val="24"/>
                <w:szCs w:val="24"/>
                <w:lang w:eastAsia="zh-CN"/>
              </w:rPr>
              <w:t xml:space="preserve"> 土壤环境</w:t>
            </w:r>
          </w:p>
          <w:p w14:paraId="65B43B19">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color w:val="auto"/>
                <w:sz w:val="24"/>
                <w:szCs w:val="28"/>
                <w:highlight w:val="none"/>
                <w:lang w:eastAsia="zh-CN"/>
              </w:rPr>
              <w:t>本项目</w:t>
            </w:r>
            <w:r>
              <w:rPr>
                <w:rFonts w:hint="eastAsia"/>
                <w:color w:val="auto"/>
                <w:sz w:val="24"/>
                <w:szCs w:val="28"/>
                <w:highlight w:val="none"/>
                <w:lang w:val="en-US" w:eastAsia="zh-CN"/>
              </w:rPr>
              <w:t>生产车间</w:t>
            </w:r>
            <w:r>
              <w:rPr>
                <w:rFonts w:hint="eastAsia"/>
                <w:color w:val="auto"/>
                <w:sz w:val="24"/>
                <w:szCs w:val="28"/>
                <w:highlight w:val="none"/>
                <w:lang w:eastAsia="zh-CN"/>
              </w:rPr>
              <w:t>全封闭，</w:t>
            </w:r>
            <w:r>
              <w:rPr>
                <w:rFonts w:hint="eastAsia"/>
                <w:color w:val="auto"/>
                <w:sz w:val="24"/>
                <w:szCs w:val="28"/>
                <w:highlight w:val="none"/>
                <w:lang w:val="en-US" w:eastAsia="zh-CN"/>
              </w:rPr>
              <w:t>生产车间进行简单防渗</w:t>
            </w:r>
            <w:r>
              <w:rPr>
                <w:rFonts w:hint="eastAsia"/>
                <w:color w:val="auto"/>
                <w:sz w:val="24"/>
                <w:szCs w:val="28"/>
                <w:highlight w:val="none"/>
                <w:lang w:eastAsia="zh-CN"/>
              </w:rPr>
              <w:t>，</w:t>
            </w:r>
            <w:r>
              <w:rPr>
                <w:rFonts w:hint="eastAsia" w:ascii="Times New Roman" w:hAnsi="Times New Roman" w:eastAsia="宋体" w:cs="Times New Roman"/>
                <w:color w:val="auto"/>
                <w:sz w:val="24"/>
                <w:szCs w:val="24"/>
                <w:highlight w:val="none"/>
                <w:lang w:eastAsia="zh-CN"/>
              </w:rPr>
              <w:t>经严格采取以上防渗措施</w:t>
            </w:r>
            <w:r>
              <w:rPr>
                <w:rFonts w:hint="eastAsia" w:ascii="Times New Roman" w:hAnsi="Times New Roman" w:eastAsia="宋体" w:cs="Times New Roman"/>
                <w:color w:val="auto"/>
                <w:sz w:val="24"/>
                <w:szCs w:val="24"/>
                <w:highlight w:val="none"/>
                <w:lang w:val="en-US" w:eastAsia="zh-CN"/>
              </w:rPr>
              <w:t>并采取定期监测管理后</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基本不会形成污染途径。因此</w:t>
            </w:r>
            <w:r>
              <w:rPr>
                <w:rFonts w:hint="eastAsia" w:ascii="Times New Roman" w:hAnsi="Times New Roman" w:eastAsia="宋体" w:cs="Times New Roman"/>
                <w:color w:val="auto"/>
                <w:sz w:val="24"/>
                <w:szCs w:val="24"/>
                <w:highlight w:val="none"/>
                <w:lang w:eastAsia="zh-CN"/>
              </w:rPr>
              <w:t>可不开展土壤环境质量现状调查。</w:t>
            </w:r>
          </w:p>
          <w:p w14:paraId="33001A3A">
            <w:pPr>
              <w:spacing w:line="360" w:lineRule="auto"/>
              <w:ind w:firstLine="482"/>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val="en-US" w:eastAsia="zh-CN"/>
              </w:rPr>
              <w:t>3.6</w:t>
            </w:r>
            <w:r>
              <w:rPr>
                <w:rFonts w:hint="eastAsia" w:ascii="Times New Roman" w:hAnsi="Times New Roman" w:eastAsia="宋体" w:cs="Times New Roman"/>
                <w:b/>
                <w:color w:val="auto"/>
                <w:sz w:val="24"/>
                <w:szCs w:val="24"/>
                <w:lang w:eastAsia="zh-CN"/>
              </w:rPr>
              <w:t xml:space="preserve"> 地下水环境</w:t>
            </w:r>
          </w:p>
          <w:p w14:paraId="34442AB9">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color w:val="auto"/>
                <w:sz w:val="24"/>
                <w:szCs w:val="28"/>
                <w:highlight w:val="none"/>
                <w:lang w:eastAsia="zh-CN"/>
              </w:rPr>
              <w:t>本项目</w:t>
            </w:r>
            <w:r>
              <w:rPr>
                <w:rFonts w:hint="eastAsia"/>
                <w:color w:val="auto"/>
                <w:sz w:val="24"/>
                <w:szCs w:val="28"/>
                <w:highlight w:val="none"/>
                <w:lang w:val="en-US" w:eastAsia="zh-CN"/>
              </w:rPr>
              <w:t>生产车间</w:t>
            </w:r>
            <w:r>
              <w:rPr>
                <w:rFonts w:hint="eastAsia"/>
                <w:color w:val="auto"/>
                <w:sz w:val="24"/>
                <w:szCs w:val="28"/>
                <w:highlight w:val="none"/>
                <w:lang w:eastAsia="zh-CN"/>
              </w:rPr>
              <w:t>全封闭，</w:t>
            </w:r>
            <w:r>
              <w:rPr>
                <w:rFonts w:hint="eastAsia"/>
                <w:color w:val="auto"/>
                <w:sz w:val="24"/>
                <w:szCs w:val="28"/>
                <w:highlight w:val="none"/>
                <w:lang w:val="en-US" w:eastAsia="zh-CN"/>
              </w:rPr>
              <w:t>生产车间进行简单防渗</w:t>
            </w:r>
            <w:r>
              <w:rPr>
                <w:rFonts w:hint="eastAsia"/>
                <w:color w:val="auto"/>
                <w:sz w:val="24"/>
                <w:szCs w:val="28"/>
                <w:highlight w:val="none"/>
                <w:lang w:eastAsia="zh-CN"/>
              </w:rPr>
              <w:t>，</w:t>
            </w:r>
            <w:r>
              <w:rPr>
                <w:rFonts w:hint="eastAsia" w:ascii="Times New Roman" w:hAnsi="Times New Roman" w:eastAsia="宋体" w:cs="Times New Roman"/>
                <w:color w:val="auto"/>
                <w:sz w:val="24"/>
                <w:szCs w:val="24"/>
                <w:highlight w:val="none"/>
                <w:lang w:eastAsia="zh-CN"/>
              </w:rPr>
              <w:t>经严格采取以上防渗措施</w:t>
            </w:r>
            <w:r>
              <w:rPr>
                <w:rFonts w:hint="eastAsia" w:ascii="Times New Roman" w:hAnsi="Times New Roman" w:eastAsia="宋体" w:cs="Times New Roman"/>
                <w:color w:val="auto"/>
                <w:sz w:val="24"/>
                <w:szCs w:val="24"/>
                <w:highlight w:val="none"/>
                <w:lang w:val="en-US" w:eastAsia="zh-CN"/>
              </w:rPr>
              <w:t>并采取定期监测管理后</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基本不会形成污染途径。因此</w:t>
            </w:r>
            <w:r>
              <w:rPr>
                <w:rFonts w:hint="eastAsia" w:ascii="Times New Roman" w:hAnsi="Times New Roman" w:eastAsia="宋体" w:cs="Times New Roman"/>
                <w:color w:val="auto"/>
                <w:sz w:val="24"/>
                <w:szCs w:val="24"/>
                <w:highlight w:val="none"/>
                <w:lang w:eastAsia="zh-CN"/>
              </w:rPr>
              <w:t>可不开展</w:t>
            </w:r>
            <w:r>
              <w:rPr>
                <w:rFonts w:hint="eastAsia" w:ascii="Times New Roman" w:hAnsi="Times New Roman" w:eastAsia="宋体" w:cs="Times New Roman"/>
                <w:color w:val="auto"/>
                <w:sz w:val="24"/>
                <w:szCs w:val="24"/>
                <w:highlight w:val="none"/>
                <w:lang w:val="en-US" w:eastAsia="zh-CN"/>
              </w:rPr>
              <w:t>地下水</w:t>
            </w:r>
            <w:r>
              <w:rPr>
                <w:rFonts w:hint="eastAsia" w:ascii="Times New Roman" w:hAnsi="Times New Roman" w:eastAsia="宋体" w:cs="Times New Roman"/>
                <w:color w:val="auto"/>
                <w:sz w:val="24"/>
                <w:szCs w:val="24"/>
                <w:highlight w:val="none"/>
                <w:lang w:eastAsia="zh-CN"/>
              </w:rPr>
              <w:t>环境质量现状调查。</w:t>
            </w:r>
          </w:p>
          <w:p w14:paraId="6C78A3D8">
            <w:pPr>
              <w:spacing w:line="360" w:lineRule="auto"/>
              <w:jc w:val="both"/>
              <w:rPr>
                <w:rFonts w:ascii="Times New Roman" w:hAnsi="Times New Roman" w:eastAsia="宋体" w:cs="Times New Roman"/>
                <w:color w:val="auto"/>
                <w:sz w:val="24"/>
                <w:szCs w:val="24"/>
                <w:lang w:eastAsia="zh-CN"/>
              </w:rPr>
            </w:pPr>
          </w:p>
          <w:p w14:paraId="347ABC55">
            <w:pPr>
              <w:spacing w:line="360" w:lineRule="auto"/>
              <w:jc w:val="both"/>
              <w:rPr>
                <w:rFonts w:hint="eastAsia" w:ascii="Times New Roman" w:hAnsi="Times New Roman" w:eastAsia="宋体" w:cs="Times New Roman"/>
                <w:color w:val="auto"/>
                <w:sz w:val="24"/>
                <w:szCs w:val="24"/>
                <w:lang w:eastAsia="zh-CN"/>
              </w:rPr>
            </w:pPr>
          </w:p>
          <w:p w14:paraId="6F2A84D8">
            <w:pPr>
              <w:spacing w:line="360" w:lineRule="auto"/>
              <w:jc w:val="both"/>
              <w:rPr>
                <w:rFonts w:hint="eastAsia" w:ascii="Times New Roman" w:hAnsi="Times New Roman" w:eastAsia="宋体" w:cs="Times New Roman"/>
                <w:color w:val="auto"/>
                <w:sz w:val="24"/>
                <w:szCs w:val="24"/>
                <w:lang w:eastAsia="zh-CN"/>
              </w:rPr>
            </w:pPr>
          </w:p>
          <w:p w14:paraId="0D8EE596">
            <w:pPr>
              <w:spacing w:line="360" w:lineRule="auto"/>
              <w:jc w:val="both"/>
              <w:rPr>
                <w:rFonts w:hint="eastAsia" w:ascii="Times New Roman" w:hAnsi="Times New Roman" w:eastAsia="宋体" w:cs="Times New Roman"/>
                <w:color w:val="auto"/>
                <w:sz w:val="24"/>
                <w:szCs w:val="24"/>
                <w:lang w:eastAsia="zh-CN"/>
              </w:rPr>
            </w:pPr>
          </w:p>
          <w:p w14:paraId="7D477AC7">
            <w:pPr>
              <w:spacing w:line="360" w:lineRule="auto"/>
              <w:jc w:val="both"/>
              <w:rPr>
                <w:rFonts w:ascii="Times New Roman" w:hAnsi="Times New Roman" w:eastAsia="宋体" w:cs="Times New Roman"/>
                <w:color w:val="auto"/>
                <w:sz w:val="24"/>
                <w:szCs w:val="24"/>
                <w:lang w:eastAsia="zh-CN"/>
              </w:rPr>
            </w:pPr>
          </w:p>
        </w:tc>
      </w:tr>
      <w:tr w14:paraId="53144C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685" w:type="dxa"/>
            <w:tcBorders>
              <w:tl2br w:val="nil"/>
              <w:tr2bl w:val="nil"/>
            </w:tcBorders>
            <w:vAlign w:val="center"/>
          </w:tcPr>
          <w:p w14:paraId="254924D9">
            <w:pPr>
              <w:pStyle w:val="42"/>
              <w:spacing w:line="237" w:lineRule="auto"/>
              <w:ind w:left="98" w:right="101"/>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保护目标</w:t>
            </w:r>
          </w:p>
        </w:tc>
        <w:tc>
          <w:tcPr>
            <w:tcW w:w="8386" w:type="dxa"/>
            <w:tcBorders>
              <w:tl2br w:val="nil"/>
              <w:tr2bl w:val="nil"/>
            </w:tcBorders>
            <w:vAlign w:val="center"/>
          </w:tcPr>
          <w:p w14:paraId="7CC17F45">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本项目位于山西省长治市潞城区史回镇闫李庄村东侧132m</w:t>
            </w:r>
            <w:r>
              <w:rPr>
                <w:rFonts w:hint="eastAsia" w:ascii="Times New Roman" w:hAnsi="Times New Roman" w:eastAsia="宋体" w:cs="Times New Roman"/>
                <w:color w:val="auto"/>
                <w:sz w:val="24"/>
                <w:szCs w:val="24"/>
                <w:lang w:val="en-US" w:eastAsia="zh-CN"/>
              </w:rPr>
              <w:t>。运输路线主要为厂区至主要道路区域。本项目环境保护目标见下表。环保目标分布见附图3，四邻关系见附图4。</w:t>
            </w:r>
          </w:p>
          <w:p w14:paraId="27FAEF5E">
            <w:pPr>
              <w:spacing w:line="360" w:lineRule="auto"/>
              <w:ind w:firstLine="482"/>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3.7  大气环境</w:t>
            </w:r>
          </w:p>
          <w:p w14:paraId="771AFE5E">
            <w:pPr>
              <w:jc w:val="center"/>
              <w:rPr>
                <w:rFonts w:hint="eastAsia" w:ascii="Times New Roman" w:hAnsi="Times New Roman" w:eastAsia="宋体" w:cs="Times New Roman"/>
                <w:b/>
                <w:bCs/>
                <w:color w:val="auto"/>
                <w:sz w:val="21"/>
                <w:szCs w:val="21"/>
                <w:lang w:eastAsia="zh-CN"/>
              </w:rPr>
            </w:pPr>
            <w:r>
              <w:rPr>
                <w:rFonts w:hint="eastAsia" w:ascii="Times New Roman" w:hAnsi="Times New Roman" w:eastAsia="宋体" w:cs="Times New Roman"/>
                <w:b/>
                <w:bCs/>
                <w:color w:val="auto"/>
                <w:sz w:val="21"/>
                <w:szCs w:val="21"/>
                <w:lang w:val="en-US" w:eastAsia="zh-CN"/>
              </w:rPr>
              <w:t xml:space="preserve">表 3.7-1 环境空气保护目标表 </w:t>
            </w:r>
          </w:p>
          <w:tbl>
            <w:tblPr>
              <w:tblStyle w:val="32"/>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245"/>
              <w:gridCol w:w="1176"/>
              <w:gridCol w:w="759"/>
              <w:gridCol w:w="808"/>
              <w:gridCol w:w="1472"/>
              <w:gridCol w:w="685"/>
              <w:gridCol w:w="1137"/>
            </w:tblGrid>
            <w:tr w14:paraId="5DBA3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88" w:type="dxa"/>
                  <w:vMerge w:val="restart"/>
                  <w:vAlign w:val="center"/>
                </w:tcPr>
                <w:p w14:paraId="0D85C265">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保护目标名称 </w:t>
                  </w:r>
                </w:p>
              </w:tc>
              <w:tc>
                <w:tcPr>
                  <w:tcW w:w="2421" w:type="dxa"/>
                  <w:gridSpan w:val="2"/>
                  <w:vAlign w:val="center"/>
                </w:tcPr>
                <w:p w14:paraId="4785F2FA">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坐标</w:t>
                  </w:r>
                </w:p>
              </w:tc>
              <w:tc>
                <w:tcPr>
                  <w:tcW w:w="759" w:type="dxa"/>
                  <w:vMerge w:val="restart"/>
                  <w:vAlign w:val="center"/>
                </w:tcPr>
                <w:p w14:paraId="48649C00">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保护 </w:t>
                  </w:r>
                </w:p>
                <w:p w14:paraId="1B951D0B">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对象</w:t>
                  </w:r>
                </w:p>
              </w:tc>
              <w:tc>
                <w:tcPr>
                  <w:tcW w:w="808" w:type="dxa"/>
                  <w:vMerge w:val="restart"/>
                  <w:vAlign w:val="center"/>
                </w:tcPr>
                <w:p w14:paraId="50F5B153">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保护 </w:t>
                  </w:r>
                </w:p>
                <w:p w14:paraId="74998D36">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内容</w:t>
                  </w:r>
                </w:p>
              </w:tc>
              <w:tc>
                <w:tcPr>
                  <w:tcW w:w="1472" w:type="dxa"/>
                  <w:vMerge w:val="restart"/>
                  <w:vAlign w:val="center"/>
                </w:tcPr>
                <w:p w14:paraId="38684B67">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 xml:space="preserve">环境功能区 </w:t>
                  </w:r>
                </w:p>
              </w:tc>
              <w:tc>
                <w:tcPr>
                  <w:tcW w:w="685" w:type="dxa"/>
                  <w:vMerge w:val="restart"/>
                  <w:vAlign w:val="center"/>
                </w:tcPr>
                <w:p w14:paraId="14BE4FF7">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相对方位</w:t>
                  </w:r>
                </w:p>
              </w:tc>
              <w:tc>
                <w:tcPr>
                  <w:tcW w:w="1137" w:type="dxa"/>
                  <w:vMerge w:val="restart"/>
                  <w:vAlign w:val="center"/>
                </w:tcPr>
                <w:p w14:paraId="6FC571DF">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相对厂界距离</w:t>
                  </w:r>
                  <w:r>
                    <w:rPr>
                      <w:rFonts w:hint="default" w:ascii="Times New Roman" w:hAnsi="Times New Roman" w:eastAsia="宋体" w:cs="Times New Roman"/>
                      <w:color w:val="auto"/>
                      <w:sz w:val="21"/>
                      <w:szCs w:val="21"/>
                      <w:lang w:val="en-US" w:eastAsia="zh-CN"/>
                    </w:rPr>
                    <w:t>/m</w:t>
                  </w:r>
                </w:p>
              </w:tc>
            </w:tr>
            <w:tr w14:paraId="55F80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88" w:type="dxa"/>
                  <w:vMerge w:val="continue"/>
                  <w:vAlign w:val="center"/>
                </w:tcPr>
                <w:p w14:paraId="1905EAC1">
                  <w:pPr>
                    <w:keepNext w:val="0"/>
                    <w:keepLines w:val="0"/>
                    <w:pageBreakBefore w:val="0"/>
                    <w:kinsoku/>
                    <w:wordWrap/>
                    <w:overflowPunct/>
                    <w:topLinePunct w:val="0"/>
                    <w:autoSpaceDE/>
                    <w:autoSpaceDN/>
                    <w:bidi w:val="0"/>
                    <w:adjustRightInd w:val="0"/>
                    <w:snapToGrid w:val="0"/>
                    <w:jc w:val="center"/>
                  </w:pPr>
                </w:p>
              </w:tc>
              <w:tc>
                <w:tcPr>
                  <w:tcW w:w="1245" w:type="dxa"/>
                  <w:vAlign w:val="center"/>
                </w:tcPr>
                <w:p w14:paraId="57D1AB33">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东经</w:t>
                  </w:r>
                </w:p>
              </w:tc>
              <w:tc>
                <w:tcPr>
                  <w:tcW w:w="1176" w:type="dxa"/>
                  <w:vAlign w:val="center"/>
                </w:tcPr>
                <w:p w14:paraId="42E2411A">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北纬</w:t>
                  </w:r>
                </w:p>
              </w:tc>
              <w:tc>
                <w:tcPr>
                  <w:tcW w:w="759" w:type="dxa"/>
                  <w:vMerge w:val="continue"/>
                  <w:vAlign w:val="center"/>
                </w:tcPr>
                <w:p w14:paraId="474B8754">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p>
              </w:tc>
              <w:tc>
                <w:tcPr>
                  <w:tcW w:w="808" w:type="dxa"/>
                  <w:vMerge w:val="continue"/>
                  <w:vAlign w:val="center"/>
                </w:tcPr>
                <w:p w14:paraId="691C16F8">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p>
              </w:tc>
              <w:tc>
                <w:tcPr>
                  <w:tcW w:w="1472" w:type="dxa"/>
                  <w:vMerge w:val="continue"/>
                  <w:vAlign w:val="center"/>
                </w:tcPr>
                <w:p w14:paraId="08AADFB9">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p>
              </w:tc>
              <w:tc>
                <w:tcPr>
                  <w:tcW w:w="685" w:type="dxa"/>
                  <w:vMerge w:val="continue"/>
                  <w:vAlign w:val="center"/>
                </w:tcPr>
                <w:p w14:paraId="0804D809">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p>
              </w:tc>
              <w:tc>
                <w:tcPr>
                  <w:tcW w:w="1137" w:type="dxa"/>
                  <w:vMerge w:val="continue"/>
                  <w:vAlign w:val="center"/>
                </w:tcPr>
                <w:p w14:paraId="6254371A">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p>
              </w:tc>
            </w:tr>
            <w:tr w14:paraId="18D6D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88" w:type="dxa"/>
                  <w:vAlign w:val="center"/>
                </w:tcPr>
                <w:p w14:paraId="445C678F">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闫李庄村</w:t>
                  </w:r>
                </w:p>
              </w:tc>
              <w:tc>
                <w:tcPr>
                  <w:tcW w:w="1245" w:type="dxa"/>
                  <w:vAlign w:val="center"/>
                </w:tcPr>
                <w:p w14:paraId="671BFC64">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113°9′7.40″</w:t>
                  </w:r>
                </w:p>
              </w:tc>
              <w:tc>
                <w:tcPr>
                  <w:tcW w:w="1176" w:type="dxa"/>
                  <w:vAlign w:val="center"/>
                </w:tcPr>
                <w:p w14:paraId="1B43A6E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36°22′21.52″</w:t>
                  </w:r>
                </w:p>
              </w:tc>
              <w:tc>
                <w:tcPr>
                  <w:tcW w:w="759" w:type="dxa"/>
                  <w:vAlign w:val="center"/>
                </w:tcPr>
                <w:p w14:paraId="57BF094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村庄</w:t>
                  </w:r>
                </w:p>
              </w:tc>
              <w:tc>
                <w:tcPr>
                  <w:tcW w:w="808" w:type="dxa"/>
                  <w:vAlign w:val="center"/>
                </w:tcPr>
                <w:p w14:paraId="203ACE4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1456人</w:t>
                  </w:r>
                </w:p>
              </w:tc>
              <w:tc>
                <w:tcPr>
                  <w:tcW w:w="1472" w:type="dxa"/>
                  <w:vAlign w:val="center"/>
                </w:tcPr>
                <w:p w14:paraId="56394A10">
                  <w:pPr>
                    <w:keepNext w:val="0"/>
                    <w:keepLines w:val="0"/>
                    <w:pageBreakBefore w:val="0"/>
                    <w:widowControl/>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《环境空气质量标准》（GB3095-2012）中的二级标准</w:t>
                  </w:r>
                </w:p>
              </w:tc>
              <w:tc>
                <w:tcPr>
                  <w:tcW w:w="685" w:type="dxa"/>
                  <w:vAlign w:val="center"/>
                </w:tcPr>
                <w:p w14:paraId="4B4132B1">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西</w:t>
                  </w:r>
                </w:p>
              </w:tc>
              <w:tc>
                <w:tcPr>
                  <w:tcW w:w="1137" w:type="dxa"/>
                  <w:vAlign w:val="center"/>
                </w:tcPr>
                <w:p w14:paraId="1FC12C7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132</w:t>
                  </w:r>
                </w:p>
              </w:tc>
            </w:tr>
          </w:tbl>
          <w:p w14:paraId="400DCA9A">
            <w:pPr>
              <w:spacing w:line="360" w:lineRule="auto"/>
              <w:ind w:firstLine="482"/>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3.8 地表水环境 </w:t>
            </w:r>
          </w:p>
          <w:p w14:paraId="08596AC6">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本项目不为新增工业废水直接排放的建设项目。</w:t>
            </w:r>
          </w:p>
          <w:p w14:paraId="5A092675">
            <w:pPr>
              <w:ind w:firstLine="482" w:firstLineChars="200"/>
              <w:jc w:val="both"/>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3.9 声环境 </w:t>
            </w:r>
          </w:p>
          <w:p w14:paraId="1CA1C692">
            <w:pPr>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本项目厂界外</w:t>
            </w:r>
            <w:r>
              <w:rPr>
                <w:rFonts w:hint="default" w:ascii="Times New Roman" w:hAnsi="Times New Roman" w:eastAsia="宋体" w:cs="Times New Roman"/>
                <w:color w:val="auto"/>
                <w:sz w:val="24"/>
                <w:szCs w:val="24"/>
                <w:lang w:val="en-US" w:eastAsia="zh-CN"/>
              </w:rPr>
              <w:t>50</w:t>
            </w:r>
            <w:r>
              <w:rPr>
                <w:rFonts w:hint="eastAsia" w:ascii="Times New Roman" w:hAnsi="Times New Roman" w:eastAsia="宋体" w:cs="Times New Roman"/>
                <w:color w:val="auto"/>
                <w:sz w:val="24"/>
                <w:szCs w:val="24"/>
                <w:lang w:val="en-US" w:eastAsia="zh-CN"/>
              </w:rPr>
              <w:t>米范围内无声环境保护目标。</w:t>
            </w:r>
          </w:p>
        </w:tc>
      </w:tr>
      <w:tr w14:paraId="1F8F5B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38" w:hRule="atLeast"/>
          <w:jc w:val="center"/>
        </w:trPr>
        <w:tc>
          <w:tcPr>
            <w:tcW w:w="685" w:type="dxa"/>
            <w:tcBorders>
              <w:tl2br w:val="nil"/>
              <w:tr2bl w:val="nil"/>
            </w:tcBorders>
            <w:vAlign w:val="center"/>
          </w:tcPr>
          <w:p w14:paraId="21B69CAE">
            <w:pPr>
              <w:pStyle w:val="42"/>
              <w:spacing w:line="272" w:lineRule="exact"/>
              <w:ind w:left="98" w:right="101"/>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污染物排放标准</w:t>
            </w:r>
          </w:p>
        </w:tc>
        <w:tc>
          <w:tcPr>
            <w:tcW w:w="8386" w:type="dxa"/>
            <w:tcBorders>
              <w:tl2br w:val="nil"/>
              <w:tr2bl w:val="nil"/>
            </w:tcBorders>
            <w:vAlign w:val="center"/>
          </w:tcPr>
          <w:p w14:paraId="7E509BEB">
            <w:pPr>
              <w:spacing w:line="360" w:lineRule="auto"/>
              <w:ind w:firstLine="482" w:firstLineChars="200"/>
              <w:jc w:val="both"/>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
                <w:bCs/>
                <w:color w:val="auto"/>
                <w:sz w:val="24"/>
                <w:szCs w:val="24"/>
                <w:lang w:val="en-US" w:eastAsia="zh-CN"/>
              </w:rPr>
              <w:t>3.10废气</w:t>
            </w:r>
          </w:p>
          <w:p w14:paraId="4448C6F8">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（1）施工期</w:t>
            </w:r>
          </w:p>
          <w:p w14:paraId="38A3D958">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施工期新建构筑物、建材装卸等产生粉尘、颗粒物执行《大气污染物综合排放标准》（GB16297-1996）表2 中二级标准中无组织排放监控浓度限值，即周界外浓度最高点1.0 mg/m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lang w:eastAsia="zh-CN"/>
              </w:rPr>
              <w:t>，见下表。</w:t>
            </w:r>
          </w:p>
          <w:p w14:paraId="77316E49">
            <w:pPr>
              <w:jc w:val="center"/>
              <w:rPr>
                <w:rFonts w:ascii="Times New Roman" w:hAnsi="Times New Roman" w:eastAsia="宋体" w:cs="Times New Roman"/>
                <w:b/>
                <w:bCs/>
                <w:color w:val="auto"/>
                <w:kern w:val="2"/>
                <w:sz w:val="21"/>
                <w:szCs w:val="21"/>
                <w:lang w:eastAsia="zh-CN"/>
              </w:rPr>
            </w:pPr>
            <w:r>
              <w:rPr>
                <w:rFonts w:ascii="Times New Roman" w:hAnsi="Times New Roman" w:eastAsia="宋体" w:cs="Times New Roman"/>
                <w:b/>
                <w:bCs/>
                <w:color w:val="auto"/>
                <w:kern w:val="2"/>
                <w:sz w:val="21"/>
                <w:szCs w:val="21"/>
                <w:lang w:eastAsia="zh-CN"/>
              </w:rPr>
              <w:t>表</w:t>
            </w:r>
            <w:r>
              <w:rPr>
                <w:rFonts w:hint="eastAsia" w:ascii="Times New Roman" w:hAnsi="Times New Roman" w:eastAsia="宋体" w:cs="Times New Roman"/>
                <w:b/>
                <w:bCs/>
                <w:color w:val="auto"/>
                <w:kern w:val="2"/>
                <w:sz w:val="21"/>
                <w:szCs w:val="21"/>
                <w:lang w:eastAsia="zh-CN"/>
              </w:rPr>
              <w:t>3</w:t>
            </w:r>
            <w:r>
              <w:rPr>
                <w:rFonts w:hint="eastAsia" w:ascii="Times New Roman" w:hAnsi="Times New Roman" w:eastAsia="宋体" w:cs="Times New Roman"/>
                <w:b/>
                <w:bCs/>
                <w:color w:val="auto"/>
                <w:kern w:val="2"/>
                <w:sz w:val="21"/>
                <w:szCs w:val="21"/>
                <w:lang w:val="en-US" w:eastAsia="zh-CN"/>
              </w:rPr>
              <w:t>.10-1</w:t>
            </w:r>
            <w:r>
              <w:rPr>
                <w:rFonts w:ascii="Times New Roman" w:hAnsi="Times New Roman" w:eastAsia="宋体" w:cs="Times New Roman"/>
                <w:b/>
                <w:bCs/>
                <w:color w:val="auto"/>
                <w:kern w:val="2"/>
                <w:sz w:val="21"/>
                <w:szCs w:val="21"/>
                <w:lang w:eastAsia="zh-CN"/>
              </w:rPr>
              <w:t xml:space="preserve"> </w:t>
            </w:r>
            <w:r>
              <w:rPr>
                <w:rFonts w:hint="eastAsia" w:ascii="Times New Roman" w:hAnsi="Times New Roman" w:eastAsia="宋体" w:cs="Times New Roman"/>
                <w:b/>
                <w:bCs/>
                <w:color w:val="auto"/>
                <w:kern w:val="2"/>
                <w:sz w:val="21"/>
                <w:szCs w:val="21"/>
                <w:lang w:val="en-US" w:eastAsia="zh-CN"/>
              </w:rPr>
              <w:t>施工期</w:t>
            </w:r>
            <w:r>
              <w:rPr>
                <w:rFonts w:ascii="Times New Roman" w:hAnsi="Times New Roman" w:eastAsia="宋体" w:cs="Times New Roman"/>
                <w:b/>
                <w:bCs/>
                <w:color w:val="auto"/>
                <w:kern w:val="2"/>
                <w:sz w:val="21"/>
                <w:szCs w:val="21"/>
                <w:lang w:eastAsia="zh-CN"/>
              </w:rPr>
              <w:t>大气污染物综合排放标准</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787"/>
              <w:gridCol w:w="3482"/>
              <w:gridCol w:w="3003"/>
            </w:tblGrid>
            <w:tr w14:paraId="15879E0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773" w:type="dxa"/>
                  <w:vMerge w:val="restart"/>
                  <w:noWrap/>
                  <w:vAlign w:val="center"/>
                </w:tcPr>
                <w:p w14:paraId="3244692A">
                  <w:pPr>
                    <w:jc w:val="center"/>
                    <w:rPr>
                      <w:rFonts w:ascii="Times New Roman" w:hAnsi="Times New Roman" w:cs="Times New Roman"/>
                      <w:color w:val="auto"/>
                      <w:sz w:val="21"/>
                      <w:szCs w:val="21"/>
                    </w:rPr>
                  </w:pPr>
                  <w:r>
                    <w:rPr>
                      <w:rFonts w:ascii="Times New Roman" w:hAnsi="Times New Roman" w:cs="Times New Roman"/>
                      <w:color w:val="auto"/>
                      <w:sz w:val="21"/>
                      <w:szCs w:val="21"/>
                    </w:rPr>
                    <w:t>污染物</w:t>
                  </w:r>
                </w:p>
              </w:tc>
              <w:tc>
                <w:tcPr>
                  <w:tcW w:w="6435" w:type="dxa"/>
                  <w:gridSpan w:val="2"/>
                  <w:noWrap/>
                  <w:vAlign w:val="center"/>
                </w:tcPr>
                <w:p w14:paraId="56D20C42">
                  <w:pPr>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无组织排放监控浓度限值</w:t>
                  </w:r>
                </w:p>
              </w:tc>
            </w:tr>
            <w:tr w14:paraId="66754D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773" w:type="dxa"/>
                  <w:vMerge w:val="continue"/>
                  <w:noWrap/>
                  <w:vAlign w:val="center"/>
                </w:tcPr>
                <w:p w14:paraId="7F685E55">
                  <w:pPr>
                    <w:jc w:val="center"/>
                    <w:rPr>
                      <w:rFonts w:ascii="Times New Roman" w:hAnsi="Times New Roman" w:cs="Times New Roman"/>
                      <w:color w:val="auto"/>
                      <w:sz w:val="21"/>
                      <w:szCs w:val="21"/>
                      <w:lang w:eastAsia="zh-CN"/>
                    </w:rPr>
                  </w:pPr>
                </w:p>
              </w:tc>
              <w:tc>
                <w:tcPr>
                  <w:tcW w:w="3455" w:type="dxa"/>
                  <w:noWrap/>
                  <w:vAlign w:val="center"/>
                </w:tcPr>
                <w:p w14:paraId="3208299F">
                  <w:pPr>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监控点</w:t>
                  </w:r>
                </w:p>
              </w:tc>
              <w:tc>
                <w:tcPr>
                  <w:tcW w:w="2980" w:type="dxa"/>
                  <w:noWrap/>
                  <w:vAlign w:val="center"/>
                </w:tcPr>
                <w:p w14:paraId="69825981">
                  <w:pPr>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浓度mg/m</w:t>
                  </w:r>
                  <w:r>
                    <w:rPr>
                      <w:rFonts w:ascii="Times New Roman" w:hAnsi="Times New Roman" w:cs="Times New Roman"/>
                      <w:color w:val="auto"/>
                      <w:sz w:val="21"/>
                      <w:szCs w:val="21"/>
                      <w:vertAlign w:val="superscript"/>
                      <w:lang w:eastAsia="zh-CN"/>
                    </w:rPr>
                    <w:t>3</w:t>
                  </w:r>
                </w:p>
              </w:tc>
            </w:tr>
            <w:tr w14:paraId="6269F4B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773" w:type="dxa"/>
                  <w:noWrap/>
                  <w:vAlign w:val="center"/>
                </w:tcPr>
                <w:p w14:paraId="0E2E6B60">
                  <w:pPr>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颗粒物</w:t>
                  </w:r>
                </w:p>
              </w:tc>
              <w:tc>
                <w:tcPr>
                  <w:tcW w:w="3455" w:type="dxa"/>
                  <w:noWrap/>
                  <w:vAlign w:val="center"/>
                </w:tcPr>
                <w:p w14:paraId="2154F444">
                  <w:pPr>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周界外浓度最高点</w:t>
                  </w:r>
                </w:p>
              </w:tc>
              <w:tc>
                <w:tcPr>
                  <w:tcW w:w="2980" w:type="dxa"/>
                  <w:noWrap/>
                  <w:vAlign w:val="center"/>
                </w:tcPr>
                <w:p w14:paraId="7FF34683">
                  <w:pPr>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1.0</w:t>
                  </w:r>
                </w:p>
              </w:tc>
            </w:tr>
          </w:tbl>
          <w:p w14:paraId="0BD1F00F">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（2）运营期</w:t>
            </w:r>
          </w:p>
          <w:p w14:paraId="046AFF35">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有组织粉尘执行《</w:t>
            </w: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大气污染物综合排放标准</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》（GB16297-1996）中表2排放限值，但本项目地处长治市潞城区，还应满足《长治市工业企业无组织排放治理实施方案》（长气防办[2019]9号）中“粉尘排放浓度控制在 10mg/m</w:t>
            </w:r>
            <w:r>
              <w:rPr>
                <w:rFonts w:hint="eastAsia" w:ascii="Times New Roman" w:hAnsi="Times New Roman" w:eastAsia="宋体" w:cs="Times New Roman"/>
                <w:color w:val="auto"/>
                <w:sz w:val="24"/>
                <w:szCs w:val="24"/>
                <w:vertAlign w:val="superscript"/>
                <w:lang w:val="en-US" w:eastAsia="zh-CN"/>
              </w:rPr>
              <w:t xml:space="preserve">3 </w:t>
            </w:r>
            <w:r>
              <w:rPr>
                <w:rFonts w:hint="eastAsia" w:ascii="Times New Roman" w:hAnsi="Times New Roman" w:eastAsia="宋体" w:cs="Times New Roman"/>
                <w:color w:val="auto"/>
                <w:sz w:val="24"/>
                <w:szCs w:val="24"/>
                <w:lang w:val="en-US" w:eastAsia="zh-CN"/>
              </w:rPr>
              <w:t>以内”要求</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color w:val="auto"/>
                <w:sz w:val="24"/>
                <w:szCs w:val="24"/>
                <w:lang w:val="en-US" w:eastAsia="zh-CN"/>
              </w:rPr>
              <w:t>厂界无组织颗粒物执行《</w:t>
            </w: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大气污染物综合排放标准</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》（GB16297-1996）中表2排放限值。</w:t>
            </w:r>
            <w:r>
              <w:rPr>
                <w:rFonts w:hint="eastAsia" w:ascii="Times New Roman" w:hAnsi="Times New Roman" w:eastAsia="宋体" w:cs="Times New Roman"/>
                <w:sz w:val="24"/>
                <w:szCs w:val="24"/>
                <w:lang w:eastAsia="zh-CN"/>
              </w:rPr>
              <w:t>标准值见下表</w:t>
            </w:r>
            <w:r>
              <w:rPr>
                <w:rFonts w:hint="eastAsia" w:ascii="Times New Roman" w:hAnsi="Times New Roman" w:eastAsia="宋体" w:cs="Times New Roman"/>
                <w:color w:val="auto"/>
                <w:sz w:val="24"/>
                <w:szCs w:val="24"/>
                <w:lang w:eastAsia="zh-CN"/>
              </w:rPr>
              <w:t>。</w:t>
            </w:r>
          </w:p>
          <w:p w14:paraId="59BF6134">
            <w:pPr>
              <w:jc w:val="center"/>
              <w:rPr>
                <w:rFonts w:ascii="Times New Roman" w:hAnsi="Times New Roman" w:eastAsia="宋体" w:cs="Times New Roman"/>
                <w:b/>
                <w:bCs/>
                <w:color w:val="auto"/>
                <w:kern w:val="2"/>
                <w:sz w:val="21"/>
                <w:szCs w:val="21"/>
                <w:lang w:eastAsia="zh-CN"/>
              </w:rPr>
            </w:pPr>
          </w:p>
          <w:p w14:paraId="27C0CF58">
            <w:pPr>
              <w:jc w:val="center"/>
              <w:rPr>
                <w:rFonts w:ascii="Times New Roman" w:hAnsi="Times New Roman" w:eastAsia="宋体" w:cs="Times New Roman"/>
                <w:b/>
                <w:bCs/>
                <w:color w:val="auto"/>
                <w:kern w:val="2"/>
                <w:sz w:val="21"/>
                <w:szCs w:val="21"/>
                <w:lang w:eastAsia="zh-CN"/>
              </w:rPr>
            </w:pPr>
          </w:p>
          <w:p w14:paraId="77A25311">
            <w:pPr>
              <w:jc w:val="center"/>
              <w:rPr>
                <w:rFonts w:ascii="Times New Roman" w:hAnsi="Times New Roman" w:eastAsia="宋体" w:cs="Times New Roman"/>
                <w:b/>
                <w:bCs/>
                <w:color w:val="auto"/>
                <w:kern w:val="2"/>
                <w:sz w:val="21"/>
                <w:szCs w:val="21"/>
                <w:lang w:eastAsia="zh-CN"/>
              </w:rPr>
            </w:pPr>
          </w:p>
          <w:p w14:paraId="23FC5BFA">
            <w:pPr>
              <w:jc w:val="center"/>
              <w:rPr>
                <w:rFonts w:ascii="Times New Roman" w:hAnsi="Times New Roman" w:eastAsia="宋体" w:cs="Times New Roman"/>
                <w:b/>
                <w:bCs/>
                <w:color w:val="auto"/>
                <w:kern w:val="2"/>
                <w:sz w:val="21"/>
                <w:szCs w:val="21"/>
                <w:lang w:eastAsia="zh-CN"/>
              </w:rPr>
            </w:pPr>
          </w:p>
          <w:p w14:paraId="3BD1BD51">
            <w:pPr>
              <w:jc w:val="center"/>
              <w:rPr>
                <w:rFonts w:ascii="Times New Roman" w:hAnsi="Times New Roman" w:eastAsia="宋体" w:cs="Times New Roman"/>
                <w:b/>
                <w:bCs/>
                <w:color w:val="auto"/>
                <w:kern w:val="2"/>
                <w:sz w:val="21"/>
                <w:szCs w:val="21"/>
                <w:lang w:eastAsia="zh-CN"/>
              </w:rPr>
            </w:pPr>
          </w:p>
          <w:p w14:paraId="1076C056">
            <w:pPr>
              <w:jc w:val="center"/>
              <w:rPr>
                <w:rFonts w:ascii="Times New Roman" w:hAnsi="Times New Roman" w:eastAsia="宋体" w:cs="Times New Roman"/>
                <w:b/>
                <w:bCs/>
                <w:color w:val="auto"/>
                <w:kern w:val="2"/>
                <w:sz w:val="21"/>
                <w:szCs w:val="21"/>
                <w:lang w:eastAsia="zh-CN"/>
              </w:rPr>
            </w:pPr>
          </w:p>
          <w:p w14:paraId="7236A088">
            <w:pPr>
              <w:jc w:val="center"/>
              <w:rPr>
                <w:rFonts w:ascii="Times New Roman" w:hAnsi="Times New Roman" w:eastAsia="宋体" w:cs="Times New Roman"/>
                <w:b/>
                <w:bCs/>
                <w:color w:val="auto"/>
                <w:kern w:val="2"/>
                <w:sz w:val="21"/>
                <w:szCs w:val="21"/>
                <w:lang w:eastAsia="zh-CN"/>
              </w:rPr>
            </w:pPr>
          </w:p>
          <w:p w14:paraId="66EFF502">
            <w:pPr>
              <w:jc w:val="center"/>
              <w:rPr>
                <w:rFonts w:ascii="Times New Roman" w:hAnsi="Times New Roman" w:eastAsia="宋体" w:cs="Times New Roman"/>
                <w:b/>
                <w:bCs/>
                <w:color w:val="auto"/>
                <w:kern w:val="2"/>
                <w:sz w:val="21"/>
                <w:szCs w:val="21"/>
                <w:lang w:eastAsia="zh-CN"/>
              </w:rPr>
            </w:pPr>
            <w:r>
              <w:rPr>
                <w:rFonts w:ascii="Times New Roman" w:hAnsi="Times New Roman" w:eastAsia="宋体" w:cs="Times New Roman"/>
                <w:b/>
                <w:bCs/>
                <w:color w:val="auto"/>
                <w:kern w:val="2"/>
                <w:sz w:val="21"/>
                <w:szCs w:val="21"/>
                <w:lang w:eastAsia="zh-CN"/>
              </w:rPr>
              <w:t>表</w:t>
            </w:r>
            <w:r>
              <w:rPr>
                <w:rFonts w:hint="eastAsia" w:ascii="Times New Roman" w:hAnsi="Times New Roman" w:eastAsia="宋体" w:cs="Times New Roman"/>
                <w:b/>
                <w:bCs/>
                <w:color w:val="auto"/>
                <w:kern w:val="2"/>
                <w:sz w:val="21"/>
                <w:szCs w:val="21"/>
                <w:lang w:eastAsia="zh-CN"/>
              </w:rPr>
              <w:t>3</w:t>
            </w:r>
            <w:r>
              <w:rPr>
                <w:rFonts w:hint="eastAsia" w:ascii="Times New Roman" w:hAnsi="Times New Roman" w:eastAsia="宋体" w:cs="Times New Roman"/>
                <w:b/>
                <w:bCs/>
                <w:color w:val="auto"/>
                <w:kern w:val="2"/>
                <w:sz w:val="21"/>
                <w:szCs w:val="21"/>
                <w:lang w:val="en-US" w:eastAsia="zh-CN"/>
              </w:rPr>
              <w:t>.10-2</w:t>
            </w:r>
            <w:r>
              <w:rPr>
                <w:rFonts w:ascii="Times New Roman" w:hAnsi="Times New Roman" w:eastAsia="宋体" w:cs="Times New Roman"/>
                <w:b/>
                <w:bCs/>
                <w:color w:val="auto"/>
                <w:kern w:val="2"/>
                <w:sz w:val="21"/>
                <w:szCs w:val="21"/>
                <w:lang w:eastAsia="zh-CN"/>
              </w:rPr>
              <w:t xml:space="preserve">  </w:t>
            </w:r>
            <w:r>
              <w:rPr>
                <w:rFonts w:hint="eastAsia" w:ascii="Times New Roman" w:hAnsi="Times New Roman" w:eastAsia="宋体" w:cs="Times New Roman"/>
                <w:b/>
                <w:bCs/>
                <w:color w:val="auto"/>
                <w:kern w:val="2"/>
                <w:sz w:val="21"/>
                <w:szCs w:val="21"/>
                <w:lang w:val="en-US" w:eastAsia="zh-CN"/>
              </w:rPr>
              <w:t>营运期</w:t>
            </w:r>
            <w:r>
              <w:rPr>
                <w:rFonts w:ascii="Times New Roman" w:hAnsi="Times New Roman" w:eastAsia="宋体" w:cs="Times New Roman"/>
                <w:b/>
                <w:bCs/>
                <w:color w:val="auto"/>
                <w:kern w:val="2"/>
                <w:sz w:val="21"/>
                <w:szCs w:val="21"/>
                <w:lang w:eastAsia="zh-CN"/>
              </w:rPr>
              <w:t>大气污染物排放标准</w:t>
            </w:r>
          </w:p>
          <w:tbl>
            <w:tblPr>
              <w:tblStyle w:val="32"/>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833"/>
              <w:gridCol w:w="942"/>
              <w:gridCol w:w="1269"/>
              <w:gridCol w:w="2274"/>
              <w:gridCol w:w="1996"/>
            </w:tblGrid>
            <w:tr w14:paraId="0B736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0" w:hRule="atLeast"/>
                <w:jc w:val="center"/>
              </w:trPr>
              <w:tc>
                <w:tcPr>
                  <w:tcW w:w="957" w:type="dxa"/>
                  <w:tcBorders>
                    <w:tl2br w:val="nil"/>
                    <w:tr2bl w:val="nil"/>
                  </w:tcBorders>
                  <w:noWrap w:val="0"/>
                  <w:vAlign w:val="center"/>
                </w:tcPr>
                <w:p w14:paraId="597F624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w:t>
                  </w:r>
                </w:p>
              </w:tc>
              <w:tc>
                <w:tcPr>
                  <w:tcW w:w="833" w:type="dxa"/>
                  <w:tcBorders>
                    <w:tl2br w:val="nil"/>
                    <w:tr2bl w:val="nil"/>
                  </w:tcBorders>
                  <w:noWrap w:val="0"/>
                  <w:vAlign w:val="center"/>
                </w:tcPr>
                <w:p w14:paraId="1712F2E8">
                  <w:pPr>
                    <w:jc w:val="center"/>
                    <w:rPr>
                      <w:rFonts w:ascii="Times New Roman" w:hAnsi="Times New Roman" w:cs="Times New Roman"/>
                      <w:color w:val="auto"/>
                      <w:sz w:val="21"/>
                      <w:szCs w:val="21"/>
                    </w:rPr>
                  </w:pPr>
                  <w:r>
                    <w:rPr>
                      <w:rFonts w:ascii="Times New Roman" w:hAnsi="Times New Roman" w:cs="Times New Roman"/>
                      <w:color w:val="auto"/>
                      <w:sz w:val="21"/>
                      <w:szCs w:val="21"/>
                    </w:rPr>
                    <w:t>污染物</w:t>
                  </w:r>
                </w:p>
              </w:tc>
              <w:tc>
                <w:tcPr>
                  <w:tcW w:w="942" w:type="dxa"/>
                  <w:tcBorders>
                    <w:tl2br w:val="nil"/>
                    <w:tr2bl w:val="nil"/>
                  </w:tcBorders>
                  <w:noWrap w:val="0"/>
                  <w:vAlign w:val="center"/>
                </w:tcPr>
                <w:p w14:paraId="70123FE1">
                  <w:pPr>
                    <w:jc w:val="center"/>
                    <w:rPr>
                      <w:rFonts w:ascii="Times New Roman" w:hAnsi="Times New Roman" w:cs="Times New Roman"/>
                      <w:color w:val="auto"/>
                      <w:sz w:val="21"/>
                      <w:szCs w:val="21"/>
                    </w:rPr>
                  </w:pPr>
                  <w:r>
                    <w:rPr>
                      <w:rFonts w:ascii="Times New Roman" w:hAnsi="Times New Roman" w:cs="Times New Roman"/>
                      <w:color w:val="auto"/>
                      <w:sz w:val="21"/>
                      <w:szCs w:val="21"/>
                    </w:rPr>
                    <w:t>排放</w:t>
                  </w:r>
                </w:p>
                <w:p w14:paraId="65431AE8">
                  <w:pPr>
                    <w:jc w:val="center"/>
                    <w:rPr>
                      <w:rFonts w:ascii="Times New Roman" w:hAnsi="Times New Roman" w:cs="Times New Roman"/>
                      <w:color w:val="auto"/>
                      <w:sz w:val="21"/>
                      <w:szCs w:val="21"/>
                    </w:rPr>
                  </w:pPr>
                  <w:r>
                    <w:rPr>
                      <w:rFonts w:ascii="Times New Roman" w:hAnsi="Times New Roman" w:cs="Times New Roman"/>
                      <w:color w:val="auto"/>
                      <w:sz w:val="21"/>
                      <w:szCs w:val="21"/>
                    </w:rPr>
                    <w:t>浓度(mg/m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w:t>
                  </w:r>
                </w:p>
              </w:tc>
              <w:tc>
                <w:tcPr>
                  <w:tcW w:w="1269" w:type="dxa"/>
                  <w:tcBorders>
                    <w:tl2br w:val="nil"/>
                    <w:tr2bl w:val="nil"/>
                  </w:tcBorders>
                  <w:noWrap w:val="0"/>
                  <w:vAlign w:val="center"/>
                </w:tcPr>
                <w:p w14:paraId="5F087BFC">
                  <w:pPr>
                    <w:jc w:val="center"/>
                    <w:rPr>
                      <w:rFonts w:ascii="Times New Roman" w:hAnsi="Times New Roman" w:cs="Times New Roman"/>
                      <w:color w:val="auto"/>
                      <w:sz w:val="21"/>
                      <w:szCs w:val="21"/>
                    </w:rPr>
                  </w:pPr>
                  <w:r>
                    <w:rPr>
                      <w:rFonts w:ascii="Times New Roman" w:hAnsi="Times New Roman" w:cs="Times New Roman"/>
                      <w:color w:val="auto"/>
                      <w:sz w:val="21"/>
                      <w:szCs w:val="21"/>
                    </w:rPr>
                    <w:t>排放</w:t>
                  </w:r>
                </w:p>
                <w:p w14:paraId="098EC0E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速率</w:t>
                  </w:r>
                  <w:r>
                    <w:rPr>
                      <w:rFonts w:ascii="Times New Roman" w:hAnsi="Times New Roman" w:cs="Times New Roman"/>
                      <w:color w:val="auto"/>
                      <w:sz w:val="21"/>
                      <w:szCs w:val="21"/>
                    </w:rPr>
                    <w:t>(</w:t>
                  </w:r>
                  <w:r>
                    <w:rPr>
                      <w:rFonts w:hint="eastAsia" w:ascii="Times New Roman" w:hAnsi="Times New Roman" w:eastAsia="宋体" w:cs="Times New Roman"/>
                      <w:color w:val="auto"/>
                      <w:sz w:val="21"/>
                      <w:szCs w:val="21"/>
                      <w:lang w:val="en-US" w:eastAsia="zh-CN"/>
                    </w:rPr>
                    <w:t>kg/h</w:t>
                  </w:r>
                  <w:r>
                    <w:rPr>
                      <w:rFonts w:ascii="Times New Roman" w:hAnsi="Times New Roman" w:cs="Times New Roman"/>
                      <w:color w:val="auto"/>
                      <w:sz w:val="21"/>
                      <w:szCs w:val="21"/>
                    </w:rPr>
                    <w:t>)</w:t>
                  </w:r>
                </w:p>
              </w:tc>
              <w:tc>
                <w:tcPr>
                  <w:tcW w:w="2274" w:type="dxa"/>
                  <w:tcBorders>
                    <w:tl2br w:val="nil"/>
                    <w:tr2bl w:val="nil"/>
                  </w:tcBorders>
                  <w:noWrap w:val="0"/>
                  <w:vAlign w:val="center"/>
                </w:tcPr>
                <w:p w14:paraId="7EF05EAC">
                  <w:pPr>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执行</w:t>
                  </w:r>
                  <w:r>
                    <w:rPr>
                      <w:rFonts w:hint="eastAsia" w:ascii="Times New Roman" w:hAnsi="Times New Roman" w:cs="Times New Roman"/>
                      <w:color w:val="auto"/>
                      <w:sz w:val="21"/>
                      <w:szCs w:val="21"/>
                      <w:lang w:eastAsia="zh-CN"/>
                    </w:rPr>
                    <w:t>标准</w:t>
                  </w:r>
                </w:p>
              </w:tc>
              <w:tc>
                <w:tcPr>
                  <w:tcW w:w="1996" w:type="dxa"/>
                  <w:tcBorders>
                    <w:tl2br w:val="nil"/>
                    <w:tr2bl w:val="nil"/>
                  </w:tcBorders>
                  <w:noWrap w:val="0"/>
                  <w:vAlign w:val="center"/>
                </w:tcPr>
                <w:p w14:paraId="2CC7CF58">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备注</w:t>
                  </w:r>
                </w:p>
              </w:tc>
            </w:tr>
            <w:tr w14:paraId="69797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957" w:type="dxa"/>
                  <w:tcBorders>
                    <w:tl2br w:val="nil"/>
                    <w:tr2bl w:val="nil"/>
                  </w:tcBorders>
                  <w:noWrap w:val="0"/>
                  <w:vAlign w:val="center"/>
                </w:tcPr>
                <w:p w14:paraId="785087D9">
                  <w:pPr>
                    <w:jc w:val="center"/>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有组织废气</w:t>
                  </w:r>
                </w:p>
              </w:tc>
              <w:tc>
                <w:tcPr>
                  <w:tcW w:w="833" w:type="dxa"/>
                  <w:tcBorders>
                    <w:tl2br w:val="nil"/>
                    <w:tr2bl w:val="nil"/>
                  </w:tcBorders>
                  <w:noWrap w:val="0"/>
                  <w:vAlign w:val="center"/>
                </w:tcPr>
                <w:p w14:paraId="3688CFD6">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颗粒物</w:t>
                  </w:r>
                </w:p>
              </w:tc>
              <w:tc>
                <w:tcPr>
                  <w:tcW w:w="942" w:type="dxa"/>
                  <w:tcBorders>
                    <w:tl2br w:val="nil"/>
                    <w:tr2bl w:val="nil"/>
                  </w:tcBorders>
                  <w:noWrap w:val="0"/>
                  <w:vAlign w:val="center"/>
                </w:tcPr>
                <w:p w14:paraId="2929AF5F">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120</w:t>
                  </w:r>
                </w:p>
              </w:tc>
              <w:tc>
                <w:tcPr>
                  <w:tcW w:w="1269" w:type="dxa"/>
                  <w:tcBorders>
                    <w:tl2br w:val="nil"/>
                    <w:tr2bl w:val="nil"/>
                  </w:tcBorders>
                  <w:noWrap w:val="0"/>
                  <w:vAlign w:val="center"/>
                </w:tcPr>
                <w:p w14:paraId="48C9BBF7">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3.5</w:t>
                  </w:r>
                </w:p>
              </w:tc>
              <w:tc>
                <w:tcPr>
                  <w:tcW w:w="2274" w:type="dxa"/>
                  <w:tcBorders>
                    <w:tl2br w:val="nil"/>
                    <w:tr2bl w:val="nil"/>
                  </w:tcBorders>
                  <w:noWrap w:val="0"/>
                  <w:vAlign w:val="center"/>
                </w:tcPr>
                <w:p w14:paraId="4D75E02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大气污染物综合排放标准</w:t>
                  </w:r>
                  <w:r>
                    <w:rPr>
                      <w:rFonts w:hint="eastAsia" w:ascii="Times New Roman" w:hAnsi="Times New Roman" w:eastAsia="宋体" w:cs="Times New Roman"/>
                      <w:color w:val="auto"/>
                      <w:sz w:val="21"/>
                      <w:szCs w:val="21"/>
                      <w:lang w:val="en-US" w:eastAsia="zh-CN"/>
                    </w:rPr>
                    <w:fldChar w:fldCharType="end"/>
                  </w:r>
                  <w:r>
                    <w:rPr>
                      <w:rFonts w:hint="eastAsia" w:ascii="Times New Roman" w:hAnsi="Times New Roman" w:eastAsia="宋体" w:cs="Times New Roman"/>
                      <w:color w:val="auto"/>
                      <w:sz w:val="21"/>
                      <w:szCs w:val="21"/>
                      <w:lang w:val="en-US" w:eastAsia="zh-CN"/>
                    </w:rPr>
                    <w:t>》（GB16297-1996）中表2排放限值</w:t>
                  </w:r>
                </w:p>
              </w:tc>
              <w:tc>
                <w:tcPr>
                  <w:tcW w:w="1996" w:type="dxa"/>
                  <w:tcBorders>
                    <w:tl2br w:val="nil"/>
                    <w:tr2bl w:val="nil"/>
                  </w:tcBorders>
                  <w:noWrap w:val="0"/>
                  <w:vAlign w:val="center"/>
                </w:tcPr>
                <w:p w14:paraId="22C1733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《长治市工业企业无组织排放治理实施方案》（长气防办[2019]9号），粉尘排放浓度控制在 10mg/m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 xml:space="preserve"> 以内</w:t>
                  </w:r>
                </w:p>
              </w:tc>
            </w:tr>
            <w:tr w14:paraId="051EA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957" w:type="dxa"/>
                  <w:tcBorders>
                    <w:tl2br w:val="nil"/>
                    <w:tr2bl w:val="nil"/>
                  </w:tcBorders>
                  <w:noWrap w:val="0"/>
                  <w:vAlign w:val="center"/>
                </w:tcPr>
                <w:p w14:paraId="38275568">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无组织废气</w:t>
                  </w:r>
                </w:p>
              </w:tc>
              <w:tc>
                <w:tcPr>
                  <w:tcW w:w="833" w:type="dxa"/>
                  <w:tcBorders>
                    <w:tl2br w:val="nil"/>
                    <w:tr2bl w:val="nil"/>
                  </w:tcBorders>
                  <w:noWrap w:val="0"/>
                  <w:vAlign w:val="center"/>
                </w:tcPr>
                <w:p w14:paraId="6C8FCE9B">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颗粒物</w:t>
                  </w:r>
                </w:p>
              </w:tc>
              <w:tc>
                <w:tcPr>
                  <w:tcW w:w="942" w:type="dxa"/>
                  <w:tcBorders>
                    <w:tl2br w:val="nil"/>
                    <w:tr2bl w:val="nil"/>
                  </w:tcBorders>
                  <w:noWrap w:val="0"/>
                  <w:vAlign w:val="center"/>
                </w:tcPr>
                <w:p w14:paraId="5F530168">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69" w:type="dxa"/>
                  <w:tcBorders>
                    <w:tl2br w:val="nil"/>
                    <w:tr2bl w:val="nil"/>
                  </w:tcBorders>
                  <w:noWrap w:val="0"/>
                  <w:vAlign w:val="center"/>
                </w:tcPr>
                <w:p w14:paraId="778FDFA5">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274" w:type="dxa"/>
                  <w:tcBorders>
                    <w:tl2br w:val="nil"/>
                    <w:tr2bl w:val="nil"/>
                  </w:tcBorders>
                  <w:noWrap w:val="0"/>
                  <w:vAlign w:val="center"/>
                </w:tcPr>
                <w:p w14:paraId="38D57AE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大气污染物综合排放标准</w:t>
                  </w:r>
                  <w:r>
                    <w:rPr>
                      <w:rFonts w:hint="eastAsia" w:ascii="Times New Roman" w:hAnsi="Times New Roman" w:eastAsia="宋体" w:cs="Times New Roman"/>
                      <w:color w:val="auto"/>
                      <w:sz w:val="21"/>
                      <w:szCs w:val="21"/>
                      <w:lang w:val="en-US" w:eastAsia="zh-CN"/>
                    </w:rPr>
                    <w:fldChar w:fldCharType="end"/>
                  </w:r>
                  <w:r>
                    <w:rPr>
                      <w:rFonts w:hint="eastAsia" w:ascii="Times New Roman" w:hAnsi="Times New Roman" w:eastAsia="宋体" w:cs="Times New Roman"/>
                      <w:color w:val="auto"/>
                      <w:sz w:val="21"/>
                      <w:szCs w:val="21"/>
                      <w:lang w:val="en-US" w:eastAsia="zh-CN"/>
                    </w:rPr>
                    <w:t>》（GB16297-1996）中表2排放限值</w:t>
                  </w:r>
                </w:p>
              </w:tc>
              <w:tc>
                <w:tcPr>
                  <w:tcW w:w="1996" w:type="dxa"/>
                  <w:tcBorders>
                    <w:tl2br w:val="nil"/>
                    <w:tr2bl w:val="nil"/>
                  </w:tcBorders>
                  <w:noWrap w:val="0"/>
                  <w:vAlign w:val="center"/>
                </w:tcPr>
                <w:p w14:paraId="72425A7F">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bl>
          <w:p w14:paraId="4C363E58">
            <w:pPr>
              <w:spacing w:line="360" w:lineRule="auto"/>
              <w:ind w:firstLine="482" w:firstLineChars="200"/>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val="en-US" w:eastAsia="zh-CN"/>
              </w:rPr>
              <w:t>3.11</w:t>
            </w:r>
            <w:r>
              <w:rPr>
                <w:rFonts w:ascii="Times New Roman" w:hAnsi="Times New Roman" w:eastAsia="宋体" w:cs="Times New Roman"/>
                <w:b/>
                <w:color w:val="auto"/>
                <w:sz w:val="24"/>
                <w:szCs w:val="24"/>
                <w:lang w:eastAsia="zh-CN"/>
              </w:rPr>
              <w:t>废水</w:t>
            </w:r>
          </w:p>
          <w:p w14:paraId="2619ADD4">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color w:val="auto"/>
                <w:sz w:val="24"/>
                <w:lang w:eastAsia="zh-CN"/>
              </w:rPr>
              <w:t>运营期无废水外排</w:t>
            </w:r>
            <w:r>
              <w:rPr>
                <w:rFonts w:ascii="Times New Roman" w:hAnsi="Times New Roman" w:eastAsia="宋体" w:cs="Times New Roman"/>
                <w:color w:val="auto"/>
                <w:sz w:val="24"/>
                <w:szCs w:val="24"/>
                <w:lang w:eastAsia="zh-CN"/>
              </w:rPr>
              <w:t>。</w:t>
            </w:r>
          </w:p>
          <w:p w14:paraId="3E1725A8">
            <w:pPr>
              <w:spacing w:line="360" w:lineRule="auto"/>
              <w:ind w:firstLine="482" w:firstLineChars="200"/>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val="en-US" w:eastAsia="zh-CN"/>
              </w:rPr>
              <w:t>3.12</w:t>
            </w:r>
            <w:r>
              <w:rPr>
                <w:rFonts w:ascii="Times New Roman" w:hAnsi="Times New Roman" w:eastAsia="宋体" w:cs="Times New Roman"/>
                <w:b/>
                <w:color w:val="auto"/>
                <w:sz w:val="24"/>
                <w:szCs w:val="24"/>
                <w:lang w:eastAsia="zh-CN"/>
              </w:rPr>
              <w:t>噪声</w:t>
            </w:r>
          </w:p>
          <w:p w14:paraId="2DECF38F">
            <w:pPr>
              <w:spacing w:line="360" w:lineRule="auto"/>
              <w:ind w:firstLine="480" w:firstLineChars="200"/>
              <w:jc w:val="both"/>
              <w:rPr>
                <w:rFonts w:ascii="Times New Roman" w:hAnsi="Times New Roman" w:cs="Times New Roman"/>
                <w:color w:val="auto"/>
                <w:sz w:val="24"/>
                <w:lang w:eastAsia="zh-CN"/>
              </w:rPr>
            </w:pPr>
            <w:r>
              <w:rPr>
                <w:rFonts w:ascii="Times New Roman" w:hAnsi="Times New Roman" w:eastAsia="宋体" w:cs="Times New Roman"/>
                <w:color w:val="auto"/>
                <w:sz w:val="24"/>
                <w:lang w:eastAsia="zh-CN"/>
              </w:rPr>
              <w:t>（1）</w:t>
            </w:r>
            <w:r>
              <w:rPr>
                <w:rFonts w:ascii="Times New Roman" w:hAnsi="Times New Roman" w:cs="Times New Roman"/>
                <w:color w:val="auto"/>
                <w:sz w:val="24"/>
                <w:lang w:eastAsia="zh-CN"/>
              </w:rPr>
              <w:t>施工期</w:t>
            </w:r>
          </w:p>
          <w:p w14:paraId="4C7D0DF6">
            <w:pPr>
              <w:spacing w:line="360" w:lineRule="auto"/>
              <w:ind w:firstLine="480" w:firstLineChars="200"/>
              <w:jc w:val="both"/>
              <w:rPr>
                <w:rFonts w:ascii="Times New Roman" w:hAnsi="Times New Roman" w:cs="Times New Roman"/>
                <w:color w:val="auto"/>
                <w:sz w:val="24"/>
                <w:lang w:eastAsia="zh-CN"/>
              </w:rPr>
            </w:pPr>
            <w:r>
              <w:rPr>
                <w:rFonts w:ascii="Times New Roman" w:hAnsi="Times New Roman" w:cs="Times New Roman"/>
                <w:color w:val="auto"/>
                <w:sz w:val="24"/>
                <w:lang w:eastAsia="zh-CN"/>
              </w:rPr>
              <w:t>施工期执行《建筑施工场界环境噪声排放标准》（GB12523-2011）标准，见下表。</w:t>
            </w:r>
          </w:p>
          <w:p w14:paraId="0F008EB8">
            <w:pPr>
              <w:jc w:val="center"/>
              <w:rPr>
                <w:rFonts w:ascii="Times New Roman" w:hAnsi="Times New Roman" w:eastAsia="宋体" w:cs="Times New Roman"/>
                <w:b/>
                <w:bCs/>
                <w:color w:val="auto"/>
                <w:kern w:val="2"/>
                <w:sz w:val="21"/>
                <w:szCs w:val="21"/>
                <w:lang w:eastAsia="zh-CN"/>
              </w:rPr>
            </w:pPr>
            <w:r>
              <w:rPr>
                <w:rFonts w:hint="eastAsia" w:ascii="Times New Roman" w:hAnsi="Times New Roman" w:eastAsia="宋体" w:cs="Times New Roman"/>
                <w:b/>
                <w:bCs/>
                <w:color w:val="auto"/>
                <w:kern w:val="2"/>
                <w:sz w:val="21"/>
                <w:szCs w:val="21"/>
                <w:lang w:eastAsia="zh-CN"/>
              </w:rPr>
              <w:t>表3</w:t>
            </w:r>
            <w:r>
              <w:rPr>
                <w:rFonts w:hint="eastAsia" w:ascii="Times New Roman" w:hAnsi="Times New Roman" w:eastAsia="宋体" w:cs="Times New Roman"/>
                <w:b/>
                <w:bCs/>
                <w:color w:val="auto"/>
                <w:kern w:val="2"/>
                <w:sz w:val="21"/>
                <w:szCs w:val="21"/>
                <w:lang w:val="en-US" w:eastAsia="zh-CN"/>
              </w:rPr>
              <w:t>.12-1</w:t>
            </w:r>
            <w:r>
              <w:rPr>
                <w:rFonts w:ascii="Times New Roman" w:hAnsi="Times New Roman" w:eastAsia="宋体" w:cs="Times New Roman"/>
                <w:b/>
                <w:bCs/>
                <w:color w:val="auto"/>
                <w:kern w:val="2"/>
                <w:sz w:val="21"/>
                <w:szCs w:val="21"/>
                <w:lang w:eastAsia="zh-CN"/>
              </w:rPr>
              <w:t xml:space="preserve"> 建筑施工场界环境噪声排放标准  单位：dB(A)</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220"/>
              <w:gridCol w:w="4052"/>
            </w:tblGrid>
            <w:tr w14:paraId="1C0213C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8199" w:type="dxa"/>
                  <w:gridSpan w:val="2"/>
                  <w:noWrap/>
                  <w:vAlign w:val="center"/>
                </w:tcPr>
                <w:p w14:paraId="76052AF5">
                  <w:pPr>
                    <w:ind w:firstLine="440" w:firstLineChars="200"/>
                    <w:jc w:val="center"/>
                    <w:rPr>
                      <w:rFonts w:ascii="Times New Roman" w:hAnsi="Times New Roman" w:cs="Times New Roman"/>
                      <w:color w:val="auto"/>
                      <w:szCs w:val="21"/>
                      <w:lang w:eastAsia="zh-CN"/>
                    </w:rPr>
                  </w:pPr>
                  <w:r>
                    <w:rPr>
                      <w:rFonts w:ascii="Times New Roman" w:hAnsi="Times New Roman" w:cs="Times New Roman"/>
                      <w:color w:val="auto"/>
                      <w:szCs w:val="21"/>
                      <w:lang w:eastAsia="zh-CN"/>
                    </w:rPr>
                    <w:t>噪声限值</w:t>
                  </w:r>
                </w:p>
              </w:tc>
            </w:tr>
            <w:tr w14:paraId="0EAFE2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4183" w:type="dxa"/>
                  <w:noWrap/>
                  <w:vAlign w:val="center"/>
                </w:tcPr>
                <w:p w14:paraId="5DDD3198">
                  <w:pPr>
                    <w:ind w:firstLine="440" w:firstLineChars="200"/>
                    <w:jc w:val="center"/>
                    <w:rPr>
                      <w:rFonts w:ascii="Times New Roman" w:hAnsi="Times New Roman" w:cs="Times New Roman"/>
                      <w:color w:val="auto"/>
                      <w:szCs w:val="21"/>
                      <w:lang w:eastAsia="zh-CN"/>
                    </w:rPr>
                  </w:pPr>
                  <w:r>
                    <w:rPr>
                      <w:rFonts w:ascii="Times New Roman" w:hAnsi="Times New Roman" w:cs="Times New Roman"/>
                      <w:color w:val="auto"/>
                      <w:szCs w:val="21"/>
                      <w:lang w:eastAsia="zh-CN"/>
                    </w:rPr>
                    <w:t>昼  间</w:t>
                  </w:r>
                </w:p>
              </w:tc>
              <w:tc>
                <w:tcPr>
                  <w:tcW w:w="4016" w:type="dxa"/>
                  <w:noWrap/>
                  <w:vAlign w:val="center"/>
                </w:tcPr>
                <w:p w14:paraId="6C5F97C2">
                  <w:pPr>
                    <w:ind w:firstLine="440" w:firstLineChars="200"/>
                    <w:jc w:val="center"/>
                    <w:rPr>
                      <w:rFonts w:ascii="Times New Roman" w:hAnsi="Times New Roman" w:cs="Times New Roman"/>
                      <w:color w:val="auto"/>
                      <w:szCs w:val="21"/>
                      <w:lang w:eastAsia="zh-CN"/>
                    </w:rPr>
                  </w:pPr>
                  <w:r>
                    <w:rPr>
                      <w:rFonts w:ascii="Times New Roman" w:hAnsi="Times New Roman" w:cs="Times New Roman"/>
                      <w:color w:val="auto"/>
                      <w:szCs w:val="21"/>
                      <w:lang w:eastAsia="zh-CN"/>
                    </w:rPr>
                    <w:t>夜  间</w:t>
                  </w:r>
                </w:p>
              </w:tc>
            </w:tr>
            <w:tr w14:paraId="1EBA2A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4183" w:type="dxa"/>
                  <w:noWrap/>
                  <w:vAlign w:val="center"/>
                </w:tcPr>
                <w:p w14:paraId="4D1D4300">
                  <w:pPr>
                    <w:ind w:firstLine="440" w:firstLineChars="200"/>
                    <w:jc w:val="center"/>
                    <w:rPr>
                      <w:rFonts w:ascii="Times New Roman" w:hAnsi="Times New Roman" w:cs="Times New Roman"/>
                      <w:color w:val="auto"/>
                      <w:szCs w:val="21"/>
                      <w:lang w:eastAsia="zh-CN"/>
                    </w:rPr>
                  </w:pPr>
                  <w:r>
                    <w:rPr>
                      <w:rFonts w:ascii="Times New Roman" w:hAnsi="Times New Roman" w:cs="Times New Roman"/>
                      <w:color w:val="auto"/>
                      <w:szCs w:val="21"/>
                      <w:lang w:eastAsia="zh-CN"/>
                    </w:rPr>
                    <w:t>70</w:t>
                  </w:r>
                </w:p>
              </w:tc>
              <w:tc>
                <w:tcPr>
                  <w:tcW w:w="4016" w:type="dxa"/>
                  <w:noWrap/>
                  <w:vAlign w:val="center"/>
                </w:tcPr>
                <w:p w14:paraId="2DB11B9B">
                  <w:pPr>
                    <w:ind w:firstLine="440" w:firstLineChars="200"/>
                    <w:jc w:val="center"/>
                    <w:rPr>
                      <w:rFonts w:ascii="Times New Roman" w:hAnsi="Times New Roman" w:cs="Times New Roman"/>
                      <w:color w:val="auto"/>
                      <w:szCs w:val="21"/>
                      <w:lang w:eastAsia="zh-CN"/>
                    </w:rPr>
                  </w:pPr>
                  <w:r>
                    <w:rPr>
                      <w:rFonts w:ascii="Times New Roman" w:hAnsi="Times New Roman" w:cs="Times New Roman"/>
                      <w:color w:val="auto"/>
                      <w:szCs w:val="21"/>
                      <w:lang w:eastAsia="zh-CN"/>
                    </w:rPr>
                    <w:t>55</w:t>
                  </w:r>
                </w:p>
              </w:tc>
            </w:tr>
          </w:tbl>
          <w:p w14:paraId="74FE5B57">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（2）运营期</w:t>
            </w:r>
          </w:p>
          <w:p w14:paraId="08D17A12">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执行《工业企业厂界环境噪声排放标准》(GB12348-2008)中</w:t>
            </w: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lang w:eastAsia="zh-CN"/>
              </w:rPr>
              <w:t>类标准，标准值见下表。</w:t>
            </w:r>
          </w:p>
          <w:p w14:paraId="4A2DCCE3">
            <w:pPr>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auto"/>
                <w:sz w:val="21"/>
                <w:szCs w:val="21"/>
                <w:lang w:eastAsia="zh-CN"/>
              </w:rPr>
              <w:t>表</w:t>
            </w:r>
            <w:r>
              <w:rPr>
                <w:rFonts w:hint="eastAsia" w:ascii="Times New Roman" w:hAnsi="Times New Roman" w:eastAsia="宋体" w:cs="Times New Roman"/>
                <w:b/>
                <w:bCs/>
                <w:color w:val="auto"/>
                <w:kern w:val="2"/>
                <w:sz w:val="21"/>
                <w:szCs w:val="21"/>
                <w:lang w:eastAsia="zh-CN"/>
              </w:rPr>
              <w:t>3</w:t>
            </w:r>
            <w:r>
              <w:rPr>
                <w:rFonts w:hint="eastAsia" w:ascii="Times New Roman" w:hAnsi="Times New Roman" w:eastAsia="宋体" w:cs="Times New Roman"/>
                <w:b/>
                <w:bCs/>
                <w:color w:val="auto"/>
                <w:kern w:val="2"/>
                <w:sz w:val="21"/>
                <w:szCs w:val="21"/>
                <w:lang w:val="en-US" w:eastAsia="zh-CN"/>
              </w:rPr>
              <w:t>.12-2</w:t>
            </w:r>
            <w:r>
              <w:rPr>
                <w:rFonts w:ascii="Times New Roman" w:hAnsi="Times New Roman" w:eastAsia="宋体" w:cs="Times New Roman"/>
                <w:b/>
                <w:bCs/>
                <w:color w:val="auto"/>
                <w:kern w:val="2"/>
                <w:sz w:val="21"/>
                <w:szCs w:val="21"/>
                <w:lang w:eastAsia="zh-CN"/>
              </w:rPr>
              <w:t xml:space="preserve"> </w:t>
            </w:r>
            <w:r>
              <w:rPr>
                <w:rFonts w:ascii="Times New Roman" w:hAnsi="Times New Roman" w:eastAsia="宋体" w:cs="Times New Roman"/>
                <w:b/>
                <w:color w:val="auto"/>
                <w:sz w:val="21"/>
                <w:szCs w:val="21"/>
                <w:lang w:eastAsia="zh-CN"/>
              </w:rPr>
              <w:t xml:space="preserve"> 工业企业厂界环境噪声排放标准   等效声级LAeq：dB（A）</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3296"/>
              <w:gridCol w:w="3296"/>
            </w:tblGrid>
            <w:tr w14:paraId="7C545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1698" w:type="dxa"/>
                  <w:tcBorders>
                    <w:tl2br w:val="nil"/>
                    <w:tr2bl w:val="nil"/>
                  </w:tcBorders>
                  <w:vAlign w:val="center"/>
                </w:tcPr>
                <w:p w14:paraId="42CF3BF4">
                  <w:pPr>
                    <w:jc w:val="center"/>
                    <w:rPr>
                      <w:rFonts w:ascii="Times New Roman" w:hAnsi="Times New Roman" w:eastAsia="宋体" w:cs="Times New Roman"/>
                      <w:b/>
                      <w:bCs/>
                      <w:color w:val="auto"/>
                      <w:lang w:eastAsia="zh-CN"/>
                    </w:rPr>
                  </w:pPr>
                  <w:r>
                    <w:rPr>
                      <w:rFonts w:ascii="Times New Roman" w:hAnsi="Times New Roman" w:eastAsia="宋体" w:cs="Times New Roman"/>
                      <w:b/>
                      <w:bCs/>
                      <w:color w:val="auto"/>
                      <w:lang w:eastAsia="zh-CN"/>
                    </w:rPr>
                    <w:t>类别</w:t>
                  </w:r>
                </w:p>
              </w:tc>
              <w:tc>
                <w:tcPr>
                  <w:tcW w:w="3334" w:type="dxa"/>
                  <w:tcBorders>
                    <w:tl2br w:val="nil"/>
                    <w:tr2bl w:val="nil"/>
                  </w:tcBorders>
                  <w:vAlign w:val="center"/>
                </w:tcPr>
                <w:p w14:paraId="257DF96C">
                  <w:pPr>
                    <w:jc w:val="center"/>
                    <w:rPr>
                      <w:rFonts w:ascii="Times New Roman" w:hAnsi="Times New Roman" w:eastAsia="宋体" w:cs="Times New Roman"/>
                      <w:b/>
                      <w:bCs/>
                      <w:color w:val="auto"/>
                      <w:lang w:eastAsia="zh-CN"/>
                    </w:rPr>
                  </w:pPr>
                  <w:r>
                    <w:rPr>
                      <w:rFonts w:ascii="Times New Roman" w:hAnsi="Times New Roman" w:eastAsia="宋体" w:cs="Times New Roman"/>
                      <w:b/>
                      <w:bCs/>
                      <w:color w:val="auto"/>
                      <w:lang w:eastAsia="zh-CN"/>
                    </w:rPr>
                    <w:t>昼间</w:t>
                  </w:r>
                </w:p>
              </w:tc>
              <w:tc>
                <w:tcPr>
                  <w:tcW w:w="3334" w:type="dxa"/>
                  <w:tcBorders>
                    <w:tl2br w:val="nil"/>
                    <w:tr2bl w:val="nil"/>
                  </w:tcBorders>
                  <w:vAlign w:val="center"/>
                </w:tcPr>
                <w:p w14:paraId="59B1543C">
                  <w:pPr>
                    <w:jc w:val="center"/>
                    <w:rPr>
                      <w:rFonts w:ascii="Times New Roman" w:hAnsi="Times New Roman" w:eastAsia="宋体" w:cs="Times New Roman"/>
                      <w:b/>
                      <w:bCs/>
                      <w:color w:val="auto"/>
                      <w:lang w:eastAsia="zh-CN"/>
                    </w:rPr>
                  </w:pPr>
                  <w:r>
                    <w:rPr>
                      <w:rFonts w:ascii="Times New Roman" w:hAnsi="Times New Roman" w:eastAsia="宋体" w:cs="Times New Roman"/>
                      <w:b/>
                      <w:bCs/>
                      <w:color w:val="auto"/>
                      <w:lang w:eastAsia="zh-CN"/>
                    </w:rPr>
                    <w:t>夜间</w:t>
                  </w:r>
                </w:p>
              </w:tc>
            </w:tr>
            <w:tr w14:paraId="19186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98" w:type="dxa"/>
                  <w:tcBorders>
                    <w:tl2br w:val="nil"/>
                    <w:tr2bl w:val="nil"/>
                  </w:tcBorders>
                  <w:vAlign w:val="center"/>
                </w:tcPr>
                <w:p w14:paraId="1F6FDB55">
                  <w:pPr>
                    <w:jc w:val="center"/>
                    <w:rPr>
                      <w:rFonts w:ascii="Times New Roman" w:hAnsi="Times New Roman" w:eastAsia="宋体" w:cs="Times New Roman"/>
                      <w:bCs/>
                      <w:color w:val="auto"/>
                      <w:lang w:eastAsia="zh-CN"/>
                    </w:rPr>
                  </w:pPr>
                  <w:r>
                    <w:rPr>
                      <w:rFonts w:hint="eastAsia" w:ascii="Times New Roman" w:hAnsi="Times New Roman" w:eastAsia="宋体" w:cs="Times New Roman"/>
                      <w:bCs/>
                      <w:color w:val="auto"/>
                      <w:lang w:val="en-US" w:eastAsia="zh-CN"/>
                    </w:rPr>
                    <w:t>2类</w:t>
                  </w:r>
                </w:p>
              </w:tc>
              <w:tc>
                <w:tcPr>
                  <w:tcW w:w="3334" w:type="dxa"/>
                  <w:tcBorders>
                    <w:tl2br w:val="nil"/>
                    <w:tr2bl w:val="nil"/>
                  </w:tcBorders>
                  <w:vAlign w:val="center"/>
                </w:tcPr>
                <w:p w14:paraId="2158D219">
                  <w:pPr>
                    <w:jc w:val="center"/>
                    <w:rPr>
                      <w:rFonts w:ascii="Times New Roman" w:hAnsi="Times New Roman" w:eastAsia="宋体" w:cs="Times New Roman"/>
                      <w:bCs/>
                      <w:color w:val="auto"/>
                      <w:lang w:eastAsia="zh-CN"/>
                    </w:rPr>
                  </w:pPr>
                  <w:r>
                    <w:rPr>
                      <w:rFonts w:hint="eastAsia" w:ascii="Times New Roman" w:hAnsi="Times New Roman" w:eastAsia="宋体" w:cs="Times New Roman"/>
                      <w:bCs/>
                      <w:color w:val="auto"/>
                      <w:lang w:val="en-US" w:eastAsia="zh-CN"/>
                    </w:rPr>
                    <w:t>60</w:t>
                  </w:r>
                  <w:r>
                    <w:rPr>
                      <w:rFonts w:ascii="Times New Roman" w:hAnsi="Times New Roman" w:eastAsia="宋体" w:cs="Times New Roman"/>
                      <w:bCs/>
                      <w:color w:val="auto"/>
                      <w:lang w:eastAsia="zh-CN"/>
                    </w:rPr>
                    <w:t>dB（A）</w:t>
                  </w:r>
                </w:p>
              </w:tc>
              <w:tc>
                <w:tcPr>
                  <w:tcW w:w="3334" w:type="dxa"/>
                  <w:tcBorders>
                    <w:tl2br w:val="nil"/>
                    <w:tr2bl w:val="nil"/>
                  </w:tcBorders>
                  <w:vAlign w:val="center"/>
                </w:tcPr>
                <w:p w14:paraId="68CBEB66">
                  <w:pPr>
                    <w:jc w:val="center"/>
                    <w:rPr>
                      <w:rFonts w:ascii="Times New Roman" w:hAnsi="Times New Roman" w:eastAsia="宋体" w:cs="Times New Roman"/>
                      <w:bCs/>
                      <w:color w:val="auto"/>
                      <w:lang w:eastAsia="zh-CN"/>
                    </w:rPr>
                  </w:pPr>
                  <w:r>
                    <w:rPr>
                      <w:rFonts w:hint="eastAsia" w:ascii="Times New Roman" w:hAnsi="Times New Roman" w:eastAsia="宋体" w:cs="Times New Roman"/>
                      <w:bCs/>
                      <w:color w:val="auto"/>
                      <w:lang w:val="en-US" w:eastAsia="zh-CN"/>
                    </w:rPr>
                    <w:t>50</w:t>
                  </w:r>
                  <w:r>
                    <w:rPr>
                      <w:rFonts w:ascii="Times New Roman" w:hAnsi="Times New Roman" w:eastAsia="宋体" w:cs="Times New Roman"/>
                      <w:bCs/>
                      <w:color w:val="auto"/>
                      <w:lang w:eastAsia="zh-CN"/>
                    </w:rPr>
                    <w:t>dB（A）</w:t>
                  </w:r>
                </w:p>
              </w:tc>
            </w:tr>
          </w:tbl>
          <w:p w14:paraId="7F418F6D">
            <w:pPr>
              <w:spacing w:line="360" w:lineRule="auto"/>
              <w:ind w:firstLine="482" w:firstLineChars="200"/>
              <w:jc w:val="both"/>
              <w:rPr>
                <w:rFonts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val="en-US" w:eastAsia="zh-CN"/>
              </w:rPr>
              <w:t>3.13</w:t>
            </w:r>
            <w:r>
              <w:rPr>
                <w:rFonts w:hint="eastAsia" w:ascii="Times New Roman" w:hAnsi="Times New Roman" w:eastAsia="宋体" w:cs="Times New Roman"/>
                <w:b/>
                <w:color w:val="auto"/>
                <w:sz w:val="24"/>
                <w:szCs w:val="24"/>
                <w:lang w:eastAsia="zh-CN"/>
              </w:rPr>
              <w:t>固体废物</w:t>
            </w:r>
          </w:p>
          <w:p w14:paraId="0D28DE41">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一般固体废物执行国家</w:t>
            </w:r>
            <w:r>
              <w:rPr>
                <w:rFonts w:hint="eastAsia" w:ascii="Times New Roman" w:hAnsi="Times New Roman" w:eastAsia="宋体" w:cs="Times New Roman"/>
                <w:color w:val="auto"/>
                <w:sz w:val="24"/>
                <w:szCs w:val="24"/>
                <w:lang w:eastAsia="zh-CN"/>
              </w:rPr>
              <w:t>《一般工业固体废物贮存和填埋污染控制标准》（GB 18599-2020）</w:t>
            </w:r>
            <w:r>
              <w:rPr>
                <w:rStyle w:val="39"/>
                <w:rFonts w:hint="eastAsia" w:eastAsia="宋体"/>
                <w:color w:val="auto"/>
                <w:lang w:eastAsia="zh-CN"/>
              </w:rPr>
              <w:t>。</w:t>
            </w:r>
          </w:p>
          <w:p w14:paraId="230E1ABA">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危险废物执行</w:t>
            </w:r>
            <w:r>
              <w:rPr>
                <w:rFonts w:hint="eastAsia" w:ascii="Times New Roman" w:hAnsi="Times New Roman" w:eastAsia="宋体" w:cs="Times New Roman"/>
                <w:color w:val="auto"/>
                <w:sz w:val="24"/>
                <w:szCs w:val="24"/>
                <w:lang w:eastAsia="zh-CN"/>
              </w:rPr>
              <w:t>《危险废物贮存污染控制标准》（GB18597-2023）。</w:t>
            </w:r>
          </w:p>
          <w:p w14:paraId="32235BD8">
            <w:pPr>
              <w:spacing w:line="360" w:lineRule="auto"/>
              <w:ind w:firstLine="480" w:firstLineChars="200"/>
              <w:jc w:val="both"/>
              <w:rPr>
                <w:rFonts w:hint="eastAsia" w:ascii="Times New Roman" w:hAnsi="Times New Roman" w:eastAsia="宋体" w:cs="Times New Roman"/>
                <w:color w:val="auto"/>
                <w:sz w:val="24"/>
                <w:szCs w:val="24"/>
                <w:lang w:eastAsia="zh-CN"/>
              </w:rPr>
            </w:pPr>
          </w:p>
          <w:p w14:paraId="2F69343E">
            <w:pPr>
              <w:spacing w:line="360" w:lineRule="auto"/>
              <w:ind w:firstLine="480" w:firstLineChars="200"/>
              <w:jc w:val="both"/>
              <w:rPr>
                <w:rFonts w:hint="eastAsia" w:ascii="Times New Roman" w:hAnsi="Times New Roman" w:eastAsia="宋体" w:cs="Times New Roman"/>
                <w:color w:val="auto"/>
                <w:sz w:val="24"/>
                <w:szCs w:val="24"/>
                <w:lang w:eastAsia="zh-CN"/>
              </w:rPr>
            </w:pPr>
          </w:p>
          <w:p w14:paraId="09AD6F08">
            <w:pPr>
              <w:spacing w:line="360" w:lineRule="auto"/>
              <w:ind w:firstLine="480" w:firstLineChars="200"/>
              <w:jc w:val="both"/>
              <w:rPr>
                <w:rFonts w:hint="eastAsia" w:ascii="Times New Roman" w:hAnsi="Times New Roman" w:eastAsia="宋体" w:cs="Times New Roman"/>
                <w:color w:val="auto"/>
                <w:sz w:val="24"/>
                <w:szCs w:val="24"/>
                <w:lang w:eastAsia="zh-CN"/>
              </w:rPr>
            </w:pPr>
          </w:p>
          <w:p w14:paraId="71B0753C">
            <w:pPr>
              <w:spacing w:line="360" w:lineRule="auto"/>
              <w:jc w:val="both"/>
              <w:rPr>
                <w:rFonts w:hint="default" w:ascii="Times New Roman" w:hAnsi="Times New Roman" w:eastAsia="宋体" w:cs="Times New Roman"/>
                <w:color w:val="auto"/>
                <w:sz w:val="24"/>
                <w:szCs w:val="24"/>
                <w:lang w:val="en-US" w:eastAsia="zh-CN"/>
              </w:rPr>
            </w:pPr>
          </w:p>
        </w:tc>
      </w:tr>
      <w:tr w14:paraId="5BDC47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685" w:type="dxa"/>
            <w:tcBorders>
              <w:tl2br w:val="nil"/>
              <w:tr2bl w:val="nil"/>
            </w:tcBorders>
            <w:vAlign w:val="center"/>
          </w:tcPr>
          <w:p w14:paraId="3DFB2CBC">
            <w:pPr>
              <w:pStyle w:val="42"/>
              <w:spacing w:line="272" w:lineRule="exact"/>
              <w:ind w:left="98" w:right="101"/>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总量控制指标</w:t>
            </w:r>
          </w:p>
        </w:tc>
        <w:tc>
          <w:tcPr>
            <w:tcW w:w="8386" w:type="dxa"/>
            <w:tcBorders>
              <w:tl2br w:val="nil"/>
              <w:tr2bl w:val="nil"/>
            </w:tcBorders>
            <w:vAlign w:val="center"/>
          </w:tcPr>
          <w:p w14:paraId="7E00887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根据</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HYPERLINK "https://www.eiacloud.com/hpyzs/lawsRegulations/searchDetail?id=7335501db7524bcb9108ffc61650fb84" \t "https://www.eiacloud.com/hpyzs/center/_blank" </w:instrText>
            </w:r>
            <w:r>
              <w:rPr>
                <w:rFonts w:hint="eastAsia" w:ascii="Times New Roman" w:hAnsi="Times New Roman" w:eastAsia="宋体" w:cs="Times New Roman"/>
                <w:color w:val="auto"/>
                <w:sz w:val="24"/>
                <w:szCs w:val="24"/>
                <w:highlight w:val="none"/>
                <w:lang w:val="en-US" w:eastAsia="zh-CN"/>
              </w:rPr>
              <w:fldChar w:fldCharType="separate"/>
            </w:r>
            <w:r>
              <w:rPr>
                <w:rFonts w:hint="eastAsia" w:ascii="Times New Roman" w:hAnsi="Times New Roman" w:eastAsia="宋体" w:cs="Times New Roman"/>
                <w:color w:val="auto"/>
                <w:sz w:val="24"/>
                <w:szCs w:val="24"/>
                <w:highlight w:val="none"/>
                <w:lang w:val="en-US" w:eastAsia="zh-CN"/>
              </w:rPr>
              <w:t>建设项目主要污染物排放总量指标核定暂行办法</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》（晋环规[2023]1号）文件</w:t>
            </w:r>
            <w:r>
              <w:rPr>
                <w:rFonts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纳入《固定污染源排污许可分类管理名录》(2019年版)，需要核定主要污染物排放总量指标</w:t>
            </w:r>
            <w:r>
              <w:rPr>
                <w:rFonts w:ascii="Times New Roman" w:hAnsi="Times New Roman" w:eastAsia="宋体" w:cs="Times New Roman"/>
                <w:color w:val="auto"/>
                <w:sz w:val="24"/>
                <w:szCs w:val="24"/>
                <w:highlight w:val="none"/>
                <w:lang w:eastAsia="zh-CN"/>
              </w:rPr>
              <w:t>。</w:t>
            </w:r>
          </w:p>
          <w:p w14:paraId="7B086E09">
            <w:pPr>
              <w:spacing w:line="360" w:lineRule="auto"/>
              <w:ind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根据“晋环规[2023]1号”第十三条规定：</w:t>
            </w:r>
            <w:r>
              <w:rPr>
                <w:rFonts w:hint="eastAsia" w:ascii="Times New Roman" w:hAnsi="Times New Roman" w:eastAsia="宋体" w:cs="Times New Roman"/>
                <w:color w:val="auto"/>
                <w:sz w:val="24"/>
                <w:szCs w:val="24"/>
                <w:highlight w:val="none"/>
                <w:lang w:eastAsia="zh-CN"/>
              </w:rPr>
              <w:t>本项目所在区域</w:t>
            </w:r>
            <w:r>
              <w:rPr>
                <w:rFonts w:hint="eastAsia" w:ascii="Times New Roman" w:hAnsi="Times New Roman" w:eastAsia="宋体" w:cs="Times New Roman"/>
                <w:color w:val="auto"/>
                <w:sz w:val="24"/>
                <w:szCs w:val="24"/>
                <w:highlight w:val="none"/>
                <w:lang w:val="en-US" w:eastAsia="zh-CN"/>
              </w:rPr>
              <w:t>长治市潞城区</w:t>
            </w:r>
            <w:r>
              <w:rPr>
                <w:rFonts w:hint="eastAsia" w:ascii="Times New Roman" w:hAnsi="Times New Roman" w:eastAsia="宋体" w:cs="Times New Roman"/>
                <w:color w:val="auto"/>
                <w:sz w:val="24"/>
                <w:szCs w:val="24"/>
                <w:highlight w:val="none"/>
                <w:lang w:eastAsia="zh-CN"/>
              </w:rPr>
              <w:t>为</w:t>
            </w:r>
            <w:r>
              <w:rPr>
                <w:rFonts w:hint="eastAsia" w:ascii="Times New Roman" w:hAnsi="Times New Roman" w:eastAsia="宋体" w:cs="Times New Roman"/>
                <w:color w:val="auto"/>
                <w:sz w:val="24"/>
                <w:szCs w:val="24"/>
                <w:highlight w:val="none"/>
                <w:lang w:val="en-US" w:eastAsia="zh-CN"/>
              </w:rPr>
              <w:t>不</w:t>
            </w:r>
            <w:r>
              <w:rPr>
                <w:rFonts w:hint="eastAsia" w:ascii="Times New Roman" w:hAnsi="Times New Roman" w:eastAsia="宋体" w:cs="Times New Roman"/>
                <w:color w:val="auto"/>
                <w:sz w:val="24"/>
                <w:szCs w:val="24"/>
                <w:highlight w:val="none"/>
                <w:lang w:eastAsia="zh-CN"/>
              </w:rPr>
              <w:t>达标区，主要污染物实行</w:t>
            </w:r>
            <w:r>
              <w:rPr>
                <w:rFonts w:hint="eastAsia" w:ascii="Times New Roman" w:hAnsi="Times New Roman" w:eastAsia="宋体" w:cs="Times New Roman"/>
                <w:color w:val="auto"/>
                <w:sz w:val="24"/>
                <w:szCs w:val="24"/>
                <w:highlight w:val="none"/>
                <w:lang w:val="en-US" w:eastAsia="zh-CN"/>
              </w:rPr>
              <w:t>2倍</w:t>
            </w:r>
            <w:r>
              <w:rPr>
                <w:rFonts w:hint="eastAsia" w:ascii="Times New Roman" w:hAnsi="Times New Roman" w:eastAsia="宋体" w:cs="Times New Roman"/>
                <w:color w:val="auto"/>
                <w:sz w:val="24"/>
                <w:szCs w:val="24"/>
                <w:highlight w:val="none"/>
                <w:lang w:eastAsia="zh-CN"/>
              </w:rPr>
              <w:t>置换。</w:t>
            </w:r>
            <w:r>
              <w:rPr>
                <w:rFonts w:hint="eastAsia" w:ascii="Times New Roman" w:hAnsi="Times New Roman" w:eastAsia="宋体" w:cs="Times New Roman"/>
                <w:color w:val="auto"/>
                <w:sz w:val="24"/>
                <w:szCs w:val="24"/>
                <w:highlight w:val="none"/>
                <w:lang w:val="en-US" w:eastAsia="zh-CN"/>
              </w:rPr>
              <w:t>根据“晋环规[2023]1号”第十六条规定：</w:t>
            </w:r>
            <w:r>
              <w:rPr>
                <w:rFonts w:hint="eastAsia" w:ascii="Times New Roman" w:hAnsi="Times New Roman" w:eastAsia="宋体" w:cs="Times New Roman"/>
                <w:color w:val="auto"/>
                <w:sz w:val="24"/>
                <w:szCs w:val="24"/>
                <w:highlight w:val="none"/>
                <w:lang w:eastAsia="zh-CN"/>
              </w:rPr>
              <w:t>废气二氧化硫、氮氧化物、颗粒物排放量分别不大于3 吨/年，挥发性有机物排放量不大于0.3 吨/年，主要污染物排放总量指标可直接予以核定，不需进行主要污染物总量置换。</w:t>
            </w:r>
          </w:p>
          <w:p w14:paraId="1D7E84B8">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根据本项目扩建前后三本账核算，核算如下：</w:t>
            </w:r>
          </w:p>
          <w:p w14:paraId="383C67E9">
            <w:pPr>
              <w:ind w:firstLine="422" w:firstLineChars="200"/>
              <w:jc w:val="center"/>
              <w:rPr>
                <w:rFonts w:hint="eastAsia" w:ascii="Times New Roman" w:hAnsi="Times New Roman" w:eastAsia="宋体" w:cs="Times New Roman"/>
                <w:b/>
                <w:bCs w:val="0"/>
                <w:color w:val="000000" w:themeColor="text1"/>
                <w:sz w:val="21"/>
                <w:szCs w:val="21"/>
                <w:highlight w:val="none"/>
                <w:lang w:eastAsia="zh-CN"/>
              </w:rPr>
            </w:pPr>
            <w:r>
              <w:rPr>
                <w:rFonts w:hint="eastAsia" w:ascii="Times New Roman" w:hAnsi="Times New Roman" w:eastAsia="宋体" w:cs="Times New Roman"/>
                <w:b/>
                <w:bCs w:val="0"/>
                <w:color w:val="000000" w:themeColor="text1"/>
                <w:sz w:val="21"/>
                <w:szCs w:val="21"/>
                <w:highlight w:val="none"/>
                <w:lang w:eastAsia="zh-CN"/>
              </w:rPr>
              <w:t>表</w:t>
            </w:r>
            <w:r>
              <w:rPr>
                <w:rFonts w:hint="eastAsia" w:ascii="Times New Roman" w:hAnsi="Times New Roman" w:eastAsia="宋体" w:cs="Times New Roman"/>
                <w:b/>
                <w:bCs/>
                <w:color w:val="auto"/>
                <w:kern w:val="2"/>
                <w:sz w:val="21"/>
                <w:szCs w:val="21"/>
                <w:lang w:eastAsia="zh-CN"/>
              </w:rPr>
              <w:t>3</w:t>
            </w:r>
            <w:r>
              <w:rPr>
                <w:rFonts w:hint="eastAsia" w:ascii="Times New Roman" w:hAnsi="Times New Roman" w:eastAsia="宋体" w:cs="Times New Roman"/>
                <w:b/>
                <w:bCs/>
                <w:color w:val="auto"/>
                <w:kern w:val="2"/>
                <w:sz w:val="21"/>
                <w:szCs w:val="21"/>
                <w:lang w:val="en-US" w:eastAsia="zh-CN"/>
              </w:rPr>
              <w:t>.13-1</w:t>
            </w:r>
            <w:r>
              <w:rPr>
                <w:rFonts w:hint="eastAsia" w:ascii="Times New Roman" w:hAnsi="Times New Roman" w:eastAsia="宋体" w:cs="Times New Roman"/>
                <w:b/>
                <w:bCs w:val="0"/>
                <w:color w:val="000000" w:themeColor="text1"/>
                <w:sz w:val="21"/>
                <w:szCs w:val="21"/>
                <w:highlight w:val="none"/>
                <w:lang w:eastAsia="zh-CN"/>
              </w:rPr>
              <w:t xml:space="preserve">  项目</w:t>
            </w:r>
            <w:r>
              <w:rPr>
                <w:rFonts w:hint="eastAsia" w:ascii="Times New Roman" w:hAnsi="Times New Roman" w:eastAsia="宋体" w:cs="Times New Roman"/>
                <w:b/>
                <w:bCs w:val="0"/>
                <w:color w:val="000000" w:themeColor="text1"/>
                <w:sz w:val="21"/>
                <w:szCs w:val="21"/>
                <w:highlight w:val="none"/>
                <w:lang w:val="en-US" w:eastAsia="zh-CN"/>
              </w:rPr>
              <w:t>扩建</w:t>
            </w:r>
            <w:r>
              <w:rPr>
                <w:rFonts w:hint="eastAsia" w:ascii="Times New Roman" w:hAnsi="Times New Roman" w:eastAsia="宋体" w:cs="Times New Roman"/>
                <w:b/>
                <w:bCs w:val="0"/>
                <w:color w:val="000000" w:themeColor="text1"/>
                <w:sz w:val="21"/>
                <w:szCs w:val="21"/>
                <w:highlight w:val="none"/>
                <w:lang w:eastAsia="zh-CN"/>
              </w:rPr>
              <w:t>前后“三本帐”分析</w:t>
            </w:r>
          </w:p>
          <w:tbl>
            <w:tblPr>
              <w:tblStyle w:val="32"/>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144"/>
              <w:gridCol w:w="1508"/>
              <w:gridCol w:w="1216"/>
              <w:gridCol w:w="1213"/>
              <w:gridCol w:w="1215"/>
              <w:gridCol w:w="1170"/>
            </w:tblGrid>
            <w:tr w14:paraId="2F680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23" w:type="dxa"/>
                  <w:gridSpan w:val="2"/>
                  <w:tcBorders>
                    <w:tl2br w:val="nil"/>
                    <w:tr2bl w:val="nil"/>
                  </w:tcBorders>
                  <w:noWrap w:val="0"/>
                  <w:vAlign w:val="center"/>
                </w:tcPr>
                <w:p w14:paraId="52639FA5">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污染物名称</w:t>
                  </w:r>
                </w:p>
              </w:tc>
              <w:tc>
                <w:tcPr>
                  <w:tcW w:w="1486" w:type="dxa"/>
                  <w:tcBorders>
                    <w:tl2br w:val="nil"/>
                    <w:tr2bl w:val="nil"/>
                  </w:tcBorders>
                  <w:noWrap w:val="0"/>
                  <w:vAlign w:val="center"/>
                </w:tcPr>
                <w:p w14:paraId="59BE479C">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前工程</w:t>
                  </w:r>
                </w:p>
                <w:p w14:paraId="6CF7A329">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排放量（t/a）</w:t>
                  </w:r>
                </w:p>
              </w:tc>
              <w:tc>
                <w:tcPr>
                  <w:tcW w:w="1199" w:type="dxa"/>
                  <w:tcBorders>
                    <w:tl2br w:val="nil"/>
                    <w:tr2bl w:val="nil"/>
                  </w:tcBorders>
                  <w:noWrap w:val="0"/>
                  <w:vAlign w:val="center"/>
                </w:tcPr>
                <w:p w14:paraId="18BAF70A">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工程排放量（t/a）</w:t>
                  </w:r>
                </w:p>
              </w:tc>
              <w:tc>
                <w:tcPr>
                  <w:tcW w:w="1196" w:type="dxa"/>
                  <w:tcBorders>
                    <w:tl2br w:val="nil"/>
                    <w:tr2bl w:val="nil"/>
                  </w:tcBorders>
                  <w:noWrap w:val="0"/>
                  <w:vAlign w:val="center"/>
                </w:tcPr>
                <w:p w14:paraId="1085B969">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“以新带老”消减量</w:t>
                  </w:r>
                </w:p>
              </w:tc>
              <w:tc>
                <w:tcPr>
                  <w:tcW w:w="1198" w:type="dxa"/>
                  <w:tcBorders>
                    <w:tl2br w:val="nil"/>
                    <w:tr2bl w:val="nil"/>
                  </w:tcBorders>
                  <w:noWrap w:val="0"/>
                  <w:vAlign w:val="center"/>
                </w:tcPr>
                <w:p w14:paraId="2C5C7363">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后污染物排放量（t/a）</w:t>
                  </w:r>
                </w:p>
              </w:tc>
              <w:tc>
                <w:tcPr>
                  <w:tcW w:w="1153" w:type="dxa"/>
                  <w:tcBorders>
                    <w:tl2br w:val="nil"/>
                    <w:tr2bl w:val="nil"/>
                  </w:tcBorders>
                  <w:noWrap w:val="0"/>
                  <w:vAlign w:val="center"/>
                </w:tcPr>
                <w:p w14:paraId="123261F7">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排放增减量（t/a）</w:t>
                  </w:r>
                </w:p>
              </w:tc>
            </w:tr>
            <w:tr w14:paraId="7FFC7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restart"/>
                  <w:tcBorders>
                    <w:tl2br w:val="nil"/>
                    <w:tr2bl w:val="nil"/>
                  </w:tcBorders>
                  <w:noWrap w:val="0"/>
                  <w:vAlign w:val="center"/>
                </w:tcPr>
                <w:p w14:paraId="4506E064">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废气</w:t>
                  </w:r>
                </w:p>
              </w:tc>
              <w:tc>
                <w:tcPr>
                  <w:tcW w:w="1128" w:type="dxa"/>
                  <w:tcBorders>
                    <w:tl2br w:val="nil"/>
                    <w:tr2bl w:val="nil"/>
                  </w:tcBorders>
                  <w:noWrap w:val="0"/>
                  <w:vAlign w:val="center"/>
                </w:tcPr>
                <w:p w14:paraId="58345D7B">
                  <w:pPr>
                    <w:pStyle w:val="12"/>
                    <w:ind w:left="0" w:leftChars="0" w:firstLine="0" w:firstLineChars="0"/>
                    <w:jc w:val="center"/>
                    <w:rPr>
                      <w:rFonts w:hint="eastAsia" w:ascii="Times New Roman" w:hAnsi="Times New Roman" w:eastAsia="宋体" w:cs="Times New Roman"/>
                      <w:b w:val="0"/>
                      <w:bCs w:val="0"/>
                      <w:color w:val="000000" w:themeColor="text1"/>
                      <w:sz w:val="21"/>
                      <w:szCs w:val="21"/>
                      <w:lang w:eastAsia="zh-CN"/>
                    </w:rPr>
                  </w:pPr>
                  <w:r>
                    <w:rPr>
                      <w:rFonts w:hint="eastAsia" w:ascii="Times New Roman" w:hAnsi="Times New Roman" w:eastAsia="宋体" w:cs="Times New Roman"/>
                      <w:b w:val="0"/>
                      <w:bCs w:val="0"/>
                      <w:color w:val="000000" w:themeColor="text1"/>
                      <w:sz w:val="21"/>
                      <w:szCs w:val="21"/>
                      <w:lang w:val="en-US" w:eastAsia="zh-CN"/>
                    </w:rPr>
                    <w:t>颗粒物</w:t>
                  </w:r>
                </w:p>
              </w:tc>
              <w:tc>
                <w:tcPr>
                  <w:tcW w:w="1486" w:type="dxa"/>
                  <w:tcBorders>
                    <w:tl2br w:val="nil"/>
                    <w:tr2bl w:val="nil"/>
                  </w:tcBorders>
                  <w:noWrap w:val="0"/>
                  <w:vAlign w:val="center"/>
                </w:tcPr>
                <w:p w14:paraId="7C2BF6A2">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7.04</w:t>
                  </w:r>
                </w:p>
              </w:tc>
              <w:tc>
                <w:tcPr>
                  <w:tcW w:w="1199" w:type="dxa"/>
                  <w:tcBorders>
                    <w:tl2br w:val="nil"/>
                    <w:tr2bl w:val="nil"/>
                  </w:tcBorders>
                  <w:noWrap w:val="0"/>
                  <w:vAlign w:val="center"/>
                </w:tcPr>
                <w:p w14:paraId="11CA88FF">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0.57</w:t>
                  </w:r>
                </w:p>
              </w:tc>
              <w:tc>
                <w:tcPr>
                  <w:tcW w:w="1196" w:type="dxa"/>
                  <w:tcBorders>
                    <w:tl2br w:val="nil"/>
                    <w:tr2bl w:val="nil"/>
                  </w:tcBorders>
                  <w:noWrap w:val="0"/>
                  <w:vAlign w:val="center"/>
                </w:tcPr>
                <w:p w14:paraId="0A11ECBE">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6.59</w:t>
                  </w:r>
                </w:p>
              </w:tc>
              <w:tc>
                <w:tcPr>
                  <w:tcW w:w="1198" w:type="dxa"/>
                  <w:tcBorders>
                    <w:tl2br w:val="nil"/>
                    <w:tr2bl w:val="nil"/>
                  </w:tcBorders>
                  <w:noWrap w:val="0"/>
                  <w:vAlign w:val="center"/>
                </w:tcPr>
                <w:p w14:paraId="2541F99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1.02</w:t>
                  </w:r>
                </w:p>
              </w:tc>
              <w:tc>
                <w:tcPr>
                  <w:tcW w:w="1153" w:type="dxa"/>
                  <w:tcBorders>
                    <w:tl2br w:val="nil"/>
                    <w:tr2bl w:val="nil"/>
                  </w:tcBorders>
                  <w:noWrap w:val="0"/>
                  <w:vAlign w:val="center"/>
                </w:tcPr>
                <w:p w14:paraId="0620C5C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-6.02</w:t>
                  </w:r>
                </w:p>
              </w:tc>
            </w:tr>
            <w:tr w14:paraId="2F7AD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continue"/>
                  <w:tcBorders>
                    <w:tl2br w:val="nil"/>
                    <w:tr2bl w:val="nil"/>
                  </w:tcBorders>
                  <w:noWrap w:val="0"/>
                  <w:vAlign w:val="center"/>
                </w:tcPr>
                <w:p w14:paraId="3D39A5F2">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p>
              </w:tc>
              <w:tc>
                <w:tcPr>
                  <w:tcW w:w="1128" w:type="dxa"/>
                  <w:tcBorders>
                    <w:tl2br w:val="nil"/>
                    <w:tr2bl w:val="nil"/>
                  </w:tcBorders>
                  <w:noWrap w:val="0"/>
                  <w:vAlign w:val="center"/>
                </w:tcPr>
                <w:p w14:paraId="56B8438F">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二氧化硫</w:t>
                  </w:r>
                </w:p>
              </w:tc>
              <w:tc>
                <w:tcPr>
                  <w:tcW w:w="1486" w:type="dxa"/>
                  <w:tcBorders>
                    <w:tl2br w:val="nil"/>
                    <w:tr2bl w:val="nil"/>
                  </w:tcBorders>
                  <w:noWrap w:val="0"/>
                  <w:vAlign w:val="center"/>
                </w:tcPr>
                <w:p w14:paraId="5ED30463">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5.67</w:t>
                  </w:r>
                </w:p>
              </w:tc>
              <w:tc>
                <w:tcPr>
                  <w:tcW w:w="1199" w:type="dxa"/>
                  <w:tcBorders>
                    <w:tl2br w:val="nil"/>
                    <w:tr2bl w:val="nil"/>
                  </w:tcBorders>
                  <w:noWrap w:val="0"/>
                  <w:vAlign w:val="center"/>
                </w:tcPr>
                <w:p w14:paraId="0F482FA1">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w:t>
                  </w:r>
                </w:p>
              </w:tc>
              <w:tc>
                <w:tcPr>
                  <w:tcW w:w="1196" w:type="dxa"/>
                  <w:tcBorders>
                    <w:tl2br w:val="nil"/>
                    <w:tr2bl w:val="nil"/>
                  </w:tcBorders>
                  <w:noWrap w:val="0"/>
                  <w:vAlign w:val="center"/>
                </w:tcPr>
                <w:p w14:paraId="1873A3D7">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4.33</w:t>
                  </w:r>
                </w:p>
              </w:tc>
              <w:tc>
                <w:tcPr>
                  <w:tcW w:w="1198" w:type="dxa"/>
                  <w:tcBorders>
                    <w:tl2br w:val="nil"/>
                    <w:tr2bl w:val="nil"/>
                  </w:tcBorders>
                  <w:noWrap w:val="0"/>
                  <w:vAlign w:val="center"/>
                </w:tcPr>
                <w:p w14:paraId="0B51200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1.34</w:t>
                  </w:r>
                </w:p>
              </w:tc>
              <w:tc>
                <w:tcPr>
                  <w:tcW w:w="1153" w:type="dxa"/>
                  <w:tcBorders>
                    <w:tl2br w:val="nil"/>
                    <w:tr2bl w:val="nil"/>
                  </w:tcBorders>
                  <w:noWrap w:val="0"/>
                  <w:vAlign w:val="center"/>
                </w:tcPr>
                <w:p w14:paraId="0FE12D7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-4.33</w:t>
                  </w:r>
                </w:p>
              </w:tc>
            </w:tr>
            <w:tr w14:paraId="7C7EE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continue"/>
                  <w:tcBorders>
                    <w:tl2br w:val="nil"/>
                    <w:tr2bl w:val="nil"/>
                  </w:tcBorders>
                  <w:noWrap w:val="0"/>
                  <w:vAlign w:val="center"/>
                </w:tcPr>
                <w:p w14:paraId="330B8B04">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p>
              </w:tc>
              <w:tc>
                <w:tcPr>
                  <w:tcW w:w="1128" w:type="dxa"/>
                  <w:tcBorders>
                    <w:tl2br w:val="nil"/>
                    <w:tr2bl w:val="nil"/>
                  </w:tcBorders>
                  <w:noWrap w:val="0"/>
                  <w:vAlign w:val="center"/>
                </w:tcPr>
                <w:p w14:paraId="0DCA0DAF">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氮氧化物</w:t>
                  </w:r>
                </w:p>
              </w:tc>
              <w:tc>
                <w:tcPr>
                  <w:tcW w:w="1486" w:type="dxa"/>
                  <w:tcBorders>
                    <w:tl2br w:val="nil"/>
                    <w:tr2bl w:val="nil"/>
                  </w:tcBorders>
                  <w:noWrap w:val="0"/>
                  <w:vAlign w:val="center"/>
                </w:tcPr>
                <w:p w14:paraId="5C766042">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38.55</w:t>
                  </w:r>
                </w:p>
              </w:tc>
              <w:tc>
                <w:tcPr>
                  <w:tcW w:w="1199" w:type="dxa"/>
                  <w:tcBorders>
                    <w:tl2br w:val="nil"/>
                    <w:tr2bl w:val="nil"/>
                  </w:tcBorders>
                  <w:noWrap w:val="0"/>
                  <w:vAlign w:val="center"/>
                </w:tcPr>
                <w:p w14:paraId="01A92D22">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w:t>
                  </w:r>
                </w:p>
              </w:tc>
              <w:tc>
                <w:tcPr>
                  <w:tcW w:w="1196" w:type="dxa"/>
                  <w:tcBorders>
                    <w:tl2br w:val="nil"/>
                    <w:tr2bl w:val="nil"/>
                  </w:tcBorders>
                  <w:noWrap w:val="0"/>
                  <w:vAlign w:val="center"/>
                </w:tcPr>
                <w:p w14:paraId="6B01FA46">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34.65</w:t>
                  </w:r>
                </w:p>
              </w:tc>
              <w:tc>
                <w:tcPr>
                  <w:tcW w:w="1198" w:type="dxa"/>
                  <w:tcBorders>
                    <w:tl2br w:val="nil"/>
                    <w:tr2bl w:val="nil"/>
                  </w:tcBorders>
                  <w:noWrap w:val="0"/>
                  <w:vAlign w:val="center"/>
                </w:tcPr>
                <w:p w14:paraId="2755B29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3.9</w:t>
                  </w:r>
                </w:p>
              </w:tc>
              <w:tc>
                <w:tcPr>
                  <w:tcW w:w="1153" w:type="dxa"/>
                  <w:tcBorders>
                    <w:tl2br w:val="nil"/>
                    <w:tr2bl w:val="nil"/>
                  </w:tcBorders>
                  <w:noWrap w:val="0"/>
                  <w:vAlign w:val="center"/>
                </w:tcPr>
                <w:p w14:paraId="1931A86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-34.65</w:t>
                  </w:r>
                </w:p>
              </w:tc>
            </w:tr>
          </w:tbl>
          <w:p w14:paraId="297C1033">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总量满足性对比如下：</w:t>
            </w:r>
          </w:p>
          <w:p w14:paraId="3AD05882">
            <w:pPr>
              <w:ind w:firstLine="422" w:firstLineChars="200"/>
              <w:jc w:val="center"/>
              <w:rPr>
                <w:rFonts w:hint="default" w:ascii="Times New Roman" w:hAnsi="Times New Roman" w:eastAsia="宋体" w:cs="Times New Roman"/>
                <w:b/>
                <w:bCs w:val="0"/>
                <w:color w:val="000000" w:themeColor="text1"/>
                <w:sz w:val="21"/>
                <w:szCs w:val="21"/>
                <w:highlight w:val="none"/>
                <w:lang w:val="en-US" w:eastAsia="zh-CN"/>
              </w:rPr>
            </w:pPr>
            <w:r>
              <w:rPr>
                <w:rFonts w:hint="eastAsia" w:ascii="Times New Roman" w:hAnsi="Times New Roman" w:eastAsia="宋体" w:cs="Times New Roman"/>
                <w:b/>
                <w:bCs w:val="0"/>
                <w:color w:val="000000" w:themeColor="text1"/>
                <w:sz w:val="21"/>
                <w:szCs w:val="21"/>
                <w:highlight w:val="none"/>
                <w:lang w:eastAsia="zh-CN"/>
              </w:rPr>
              <w:t>表</w:t>
            </w:r>
            <w:r>
              <w:rPr>
                <w:rFonts w:hint="eastAsia" w:ascii="Times New Roman" w:hAnsi="Times New Roman" w:eastAsia="宋体" w:cs="Times New Roman"/>
                <w:b/>
                <w:bCs/>
                <w:color w:val="auto"/>
                <w:kern w:val="2"/>
                <w:sz w:val="21"/>
                <w:szCs w:val="21"/>
                <w:lang w:eastAsia="zh-CN"/>
              </w:rPr>
              <w:t>3</w:t>
            </w:r>
            <w:r>
              <w:rPr>
                <w:rFonts w:hint="eastAsia" w:ascii="Times New Roman" w:hAnsi="Times New Roman" w:eastAsia="宋体" w:cs="Times New Roman"/>
                <w:b/>
                <w:bCs/>
                <w:color w:val="auto"/>
                <w:kern w:val="2"/>
                <w:sz w:val="21"/>
                <w:szCs w:val="21"/>
                <w:lang w:val="en-US" w:eastAsia="zh-CN"/>
              </w:rPr>
              <w:t>.13-2</w:t>
            </w:r>
            <w:r>
              <w:rPr>
                <w:rFonts w:hint="eastAsia" w:ascii="Times New Roman" w:hAnsi="Times New Roman" w:eastAsia="宋体" w:cs="Times New Roman"/>
                <w:b/>
                <w:bCs w:val="0"/>
                <w:color w:val="000000" w:themeColor="text1"/>
                <w:sz w:val="21"/>
                <w:szCs w:val="21"/>
                <w:highlight w:val="none"/>
                <w:lang w:eastAsia="zh-CN"/>
              </w:rPr>
              <w:t xml:space="preserve">  </w:t>
            </w:r>
            <w:r>
              <w:rPr>
                <w:rFonts w:hint="eastAsia" w:ascii="Times New Roman" w:hAnsi="Times New Roman" w:eastAsia="宋体" w:cs="Times New Roman"/>
                <w:b/>
                <w:bCs w:val="0"/>
                <w:color w:val="000000" w:themeColor="text1"/>
                <w:sz w:val="21"/>
                <w:szCs w:val="21"/>
                <w:highlight w:val="none"/>
                <w:lang w:val="en-US" w:eastAsia="zh-CN"/>
              </w:rPr>
              <w:t>总量满足性分析</w:t>
            </w:r>
          </w:p>
          <w:tbl>
            <w:tblPr>
              <w:tblStyle w:val="32"/>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144"/>
              <w:gridCol w:w="1508"/>
              <w:gridCol w:w="1216"/>
              <w:gridCol w:w="1213"/>
              <w:gridCol w:w="1215"/>
              <w:gridCol w:w="1170"/>
            </w:tblGrid>
            <w:tr w14:paraId="7955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23" w:type="dxa"/>
                  <w:gridSpan w:val="2"/>
                  <w:tcBorders>
                    <w:tl2br w:val="nil"/>
                    <w:tr2bl w:val="nil"/>
                  </w:tcBorders>
                  <w:noWrap w:val="0"/>
                  <w:vAlign w:val="center"/>
                </w:tcPr>
                <w:p w14:paraId="352FDE91">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污染物名称</w:t>
                  </w:r>
                </w:p>
              </w:tc>
              <w:tc>
                <w:tcPr>
                  <w:tcW w:w="1486" w:type="dxa"/>
                  <w:tcBorders>
                    <w:tl2br w:val="nil"/>
                    <w:tr2bl w:val="nil"/>
                  </w:tcBorders>
                  <w:noWrap w:val="0"/>
                  <w:vAlign w:val="center"/>
                </w:tcPr>
                <w:p w14:paraId="0549F133">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前工程</w:t>
                  </w:r>
                  <w:r>
                    <w:rPr>
                      <w:rFonts w:hint="eastAsia" w:ascii="Times New Roman" w:hAnsi="Times New Roman" w:eastAsia="宋体" w:cs="Times New Roman"/>
                      <w:b w:val="0"/>
                      <w:bCs w:val="0"/>
                      <w:color w:val="000000" w:themeColor="text1"/>
                      <w:sz w:val="21"/>
                      <w:szCs w:val="21"/>
                      <w:lang w:val="en-US" w:eastAsia="zh-CN"/>
                    </w:rPr>
                    <w:t>实际</w:t>
                  </w:r>
                  <w:r>
                    <w:rPr>
                      <w:rFonts w:hint="eastAsia" w:ascii="Times New Roman" w:hAnsi="Times New Roman" w:eastAsia="宋体" w:cs="Times New Roman"/>
                      <w:b w:val="0"/>
                      <w:bCs w:val="0"/>
                      <w:color w:val="000000" w:themeColor="text1"/>
                      <w:sz w:val="21"/>
                      <w:szCs w:val="21"/>
                    </w:rPr>
                    <w:t>排放量（t/a）</w:t>
                  </w:r>
                </w:p>
              </w:tc>
              <w:tc>
                <w:tcPr>
                  <w:tcW w:w="1199" w:type="dxa"/>
                  <w:tcBorders>
                    <w:tl2br w:val="nil"/>
                    <w:tr2bl w:val="nil"/>
                  </w:tcBorders>
                  <w:noWrap w:val="0"/>
                  <w:vAlign w:val="center"/>
                </w:tcPr>
                <w:p w14:paraId="31F28C19">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工程排放量（t/a）</w:t>
                  </w:r>
                </w:p>
              </w:tc>
              <w:tc>
                <w:tcPr>
                  <w:tcW w:w="1196" w:type="dxa"/>
                  <w:tcBorders>
                    <w:tl2br w:val="nil"/>
                    <w:tr2bl w:val="nil"/>
                  </w:tcBorders>
                  <w:noWrap w:val="0"/>
                  <w:vAlign w:val="center"/>
                </w:tcPr>
                <w:p w14:paraId="491B412B">
                  <w:pPr>
                    <w:pStyle w:val="12"/>
                    <w:ind w:left="0" w:leftChars="0" w:firstLine="0" w:firstLineChars="0"/>
                    <w:jc w:val="center"/>
                    <w:rPr>
                      <w:rFonts w:hint="eastAsia" w:ascii="Times New Roman" w:hAnsi="Times New Roman" w:eastAsia="宋体" w:cs="Times New Roman"/>
                      <w:b w:val="0"/>
                      <w:bCs w:val="0"/>
                      <w:color w:val="000000" w:themeColor="text1"/>
                      <w:sz w:val="21"/>
                      <w:szCs w:val="21"/>
                      <w:lang w:eastAsia="zh-CN"/>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后污染物排放量（t/a）</w:t>
                  </w:r>
                </w:p>
              </w:tc>
              <w:tc>
                <w:tcPr>
                  <w:tcW w:w="1198" w:type="dxa"/>
                  <w:tcBorders>
                    <w:tl2br w:val="nil"/>
                    <w:tr2bl w:val="nil"/>
                  </w:tcBorders>
                  <w:noWrap w:val="0"/>
                  <w:vAlign w:val="center"/>
                </w:tcPr>
                <w:p w14:paraId="44079A8D">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已取得总量指标</w:t>
                  </w:r>
                  <w:r>
                    <w:rPr>
                      <w:rFonts w:hint="eastAsia" w:ascii="Times New Roman" w:hAnsi="Times New Roman" w:eastAsia="宋体" w:cs="Times New Roman"/>
                      <w:b w:val="0"/>
                      <w:bCs w:val="0"/>
                      <w:color w:val="000000" w:themeColor="text1"/>
                      <w:sz w:val="21"/>
                      <w:szCs w:val="21"/>
                    </w:rPr>
                    <w:t>（t/a）</w:t>
                  </w:r>
                </w:p>
              </w:tc>
              <w:tc>
                <w:tcPr>
                  <w:tcW w:w="1153" w:type="dxa"/>
                  <w:tcBorders>
                    <w:tl2br w:val="nil"/>
                    <w:tr2bl w:val="nil"/>
                  </w:tcBorders>
                  <w:noWrap w:val="0"/>
                  <w:vAlign w:val="center"/>
                </w:tcPr>
                <w:p w14:paraId="1EBCDE8C">
                  <w:pPr>
                    <w:pStyle w:val="12"/>
                    <w:ind w:left="0" w:leftChars="0" w:firstLine="0" w:firstLineChars="0"/>
                    <w:jc w:val="center"/>
                    <w:rPr>
                      <w:rFonts w:hint="eastAsia" w:ascii="Times New Roman" w:hAnsi="Times New Roman" w:eastAsia="宋体" w:cs="Times New Roman"/>
                      <w:b w:val="0"/>
                      <w:bCs w:val="0"/>
                      <w:color w:val="000000" w:themeColor="text1"/>
                      <w:sz w:val="21"/>
                      <w:szCs w:val="21"/>
                      <w:lang w:eastAsia="zh-CN"/>
                    </w:rPr>
                  </w:pPr>
                  <w:r>
                    <w:rPr>
                      <w:rFonts w:hint="eastAsia" w:ascii="Times New Roman" w:hAnsi="Times New Roman" w:eastAsia="宋体" w:cs="Times New Roman"/>
                      <w:b w:val="0"/>
                      <w:bCs w:val="0"/>
                      <w:color w:val="000000" w:themeColor="text1"/>
                      <w:sz w:val="21"/>
                      <w:szCs w:val="21"/>
                      <w:lang w:val="en-US" w:eastAsia="zh-CN"/>
                    </w:rPr>
                    <w:t>满足性</w:t>
                  </w:r>
                </w:p>
              </w:tc>
            </w:tr>
            <w:tr w14:paraId="44D05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restart"/>
                  <w:tcBorders>
                    <w:tl2br w:val="nil"/>
                    <w:tr2bl w:val="nil"/>
                  </w:tcBorders>
                  <w:noWrap w:val="0"/>
                  <w:vAlign w:val="center"/>
                </w:tcPr>
                <w:p w14:paraId="3415A421">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废气</w:t>
                  </w:r>
                </w:p>
              </w:tc>
              <w:tc>
                <w:tcPr>
                  <w:tcW w:w="1128" w:type="dxa"/>
                  <w:tcBorders>
                    <w:tl2br w:val="nil"/>
                    <w:tr2bl w:val="nil"/>
                  </w:tcBorders>
                  <w:noWrap w:val="0"/>
                  <w:vAlign w:val="center"/>
                </w:tcPr>
                <w:p w14:paraId="6CBD0FD2">
                  <w:pPr>
                    <w:pStyle w:val="12"/>
                    <w:ind w:left="0" w:leftChars="0" w:firstLine="0" w:firstLineChars="0"/>
                    <w:jc w:val="center"/>
                    <w:rPr>
                      <w:rFonts w:hint="eastAsia" w:ascii="Times New Roman" w:hAnsi="Times New Roman" w:eastAsia="宋体" w:cs="Times New Roman"/>
                      <w:b w:val="0"/>
                      <w:bCs w:val="0"/>
                      <w:color w:val="000000" w:themeColor="text1"/>
                      <w:sz w:val="21"/>
                      <w:szCs w:val="21"/>
                      <w:lang w:eastAsia="zh-CN"/>
                    </w:rPr>
                  </w:pPr>
                  <w:r>
                    <w:rPr>
                      <w:rFonts w:hint="eastAsia" w:ascii="Times New Roman" w:hAnsi="Times New Roman" w:eastAsia="宋体" w:cs="Times New Roman"/>
                      <w:b w:val="0"/>
                      <w:bCs w:val="0"/>
                      <w:color w:val="000000" w:themeColor="text1"/>
                      <w:sz w:val="21"/>
                      <w:szCs w:val="21"/>
                      <w:lang w:val="en-US" w:eastAsia="zh-CN"/>
                    </w:rPr>
                    <w:t>颗粒物</w:t>
                  </w:r>
                </w:p>
              </w:tc>
              <w:tc>
                <w:tcPr>
                  <w:tcW w:w="1486" w:type="dxa"/>
                  <w:tcBorders>
                    <w:tl2br w:val="nil"/>
                    <w:tr2bl w:val="nil"/>
                  </w:tcBorders>
                  <w:noWrap w:val="0"/>
                  <w:vAlign w:val="center"/>
                </w:tcPr>
                <w:p w14:paraId="6263E7E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bidi="ar-SA"/>
                    </w:rPr>
                    <w:t>1.02</w:t>
                  </w:r>
                </w:p>
              </w:tc>
              <w:tc>
                <w:tcPr>
                  <w:tcW w:w="1199" w:type="dxa"/>
                  <w:tcBorders>
                    <w:tl2br w:val="nil"/>
                    <w:tr2bl w:val="nil"/>
                  </w:tcBorders>
                  <w:noWrap w:val="0"/>
                  <w:vAlign w:val="center"/>
                </w:tcPr>
                <w:p w14:paraId="75A460A5">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0.57</w:t>
                  </w:r>
                </w:p>
              </w:tc>
              <w:tc>
                <w:tcPr>
                  <w:tcW w:w="1196" w:type="dxa"/>
                  <w:tcBorders>
                    <w:tl2br w:val="nil"/>
                    <w:tr2bl w:val="nil"/>
                  </w:tcBorders>
                  <w:noWrap w:val="0"/>
                  <w:vAlign w:val="center"/>
                </w:tcPr>
                <w:p w14:paraId="2BE4289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bidi="ar-SA"/>
                    </w:rPr>
                    <w:t>1.02</w:t>
                  </w:r>
                </w:p>
              </w:tc>
              <w:tc>
                <w:tcPr>
                  <w:tcW w:w="1198" w:type="dxa"/>
                  <w:tcBorders>
                    <w:tl2br w:val="nil"/>
                    <w:tr2bl w:val="nil"/>
                  </w:tcBorders>
                  <w:noWrap w:val="0"/>
                  <w:vAlign w:val="center"/>
                </w:tcPr>
                <w:p w14:paraId="304A5D01">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rPr>
                    <w:t>7.04</w:t>
                  </w:r>
                </w:p>
              </w:tc>
              <w:tc>
                <w:tcPr>
                  <w:tcW w:w="1153" w:type="dxa"/>
                  <w:tcBorders>
                    <w:tl2br w:val="nil"/>
                    <w:tr2bl w:val="nil"/>
                  </w:tcBorders>
                  <w:noWrap w:val="0"/>
                  <w:vAlign w:val="center"/>
                </w:tcPr>
                <w:p w14:paraId="56B87BB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rPr>
                    <w:t>满足</w:t>
                  </w:r>
                </w:p>
              </w:tc>
            </w:tr>
            <w:tr w14:paraId="49C06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continue"/>
                  <w:tcBorders>
                    <w:tl2br w:val="nil"/>
                    <w:tr2bl w:val="nil"/>
                  </w:tcBorders>
                  <w:noWrap w:val="0"/>
                  <w:vAlign w:val="center"/>
                </w:tcPr>
                <w:p w14:paraId="6EE7B89F">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p>
              </w:tc>
              <w:tc>
                <w:tcPr>
                  <w:tcW w:w="1128" w:type="dxa"/>
                  <w:tcBorders>
                    <w:tl2br w:val="nil"/>
                    <w:tr2bl w:val="nil"/>
                  </w:tcBorders>
                  <w:noWrap w:val="0"/>
                  <w:vAlign w:val="center"/>
                </w:tcPr>
                <w:p w14:paraId="351465B5">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二氧化硫</w:t>
                  </w:r>
                </w:p>
              </w:tc>
              <w:tc>
                <w:tcPr>
                  <w:tcW w:w="1486" w:type="dxa"/>
                  <w:tcBorders>
                    <w:tl2br w:val="nil"/>
                    <w:tr2bl w:val="nil"/>
                  </w:tcBorders>
                  <w:noWrap w:val="0"/>
                  <w:vAlign w:val="center"/>
                </w:tcPr>
                <w:p w14:paraId="6F198B4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bidi="ar-SA"/>
                    </w:rPr>
                    <w:t>1.34</w:t>
                  </w:r>
                </w:p>
              </w:tc>
              <w:tc>
                <w:tcPr>
                  <w:tcW w:w="1199" w:type="dxa"/>
                  <w:tcBorders>
                    <w:tl2br w:val="nil"/>
                    <w:tr2bl w:val="nil"/>
                  </w:tcBorders>
                  <w:noWrap w:val="0"/>
                  <w:vAlign w:val="center"/>
                </w:tcPr>
                <w:p w14:paraId="2CD1BE05">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w:t>
                  </w:r>
                </w:p>
              </w:tc>
              <w:tc>
                <w:tcPr>
                  <w:tcW w:w="1196" w:type="dxa"/>
                  <w:tcBorders>
                    <w:tl2br w:val="nil"/>
                    <w:tr2bl w:val="nil"/>
                  </w:tcBorders>
                  <w:noWrap w:val="0"/>
                  <w:vAlign w:val="center"/>
                </w:tcPr>
                <w:p w14:paraId="659B6508">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1.34</w:t>
                  </w:r>
                </w:p>
              </w:tc>
              <w:tc>
                <w:tcPr>
                  <w:tcW w:w="1198" w:type="dxa"/>
                  <w:tcBorders>
                    <w:tl2br w:val="nil"/>
                    <w:tr2bl w:val="nil"/>
                  </w:tcBorders>
                  <w:noWrap w:val="0"/>
                  <w:vAlign w:val="center"/>
                </w:tcPr>
                <w:p w14:paraId="2D0F1AF3">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rPr>
                    <w:t>5.67</w:t>
                  </w:r>
                </w:p>
              </w:tc>
              <w:tc>
                <w:tcPr>
                  <w:tcW w:w="1153" w:type="dxa"/>
                  <w:tcBorders>
                    <w:tl2br w:val="nil"/>
                    <w:tr2bl w:val="nil"/>
                  </w:tcBorders>
                  <w:noWrap w:val="0"/>
                  <w:vAlign w:val="center"/>
                </w:tcPr>
                <w:p w14:paraId="3E0B388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rPr>
                    <w:t>满足</w:t>
                  </w:r>
                </w:p>
              </w:tc>
            </w:tr>
            <w:tr w14:paraId="23010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continue"/>
                  <w:tcBorders>
                    <w:tl2br w:val="nil"/>
                    <w:tr2bl w:val="nil"/>
                  </w:tcBorders>
                  <w:noWrap w:val="0"/>
                  <w:vAlign w:val="center"/>
                </w:tcPr>
                <w:p w14:paraId="5174DECD">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p>
              </w:tc>
              <w:tc>
                <w:tcPr>
                  <w:tcW w:w="1128" w:type="dxa"/>
                  <w:tcBorders>
                    <w:tl2br w:val="nil"/>
                    <w:tr2bl w:val="nil"/>
                  </w:tcBorders>
                  <w:noWrap w:val="0"/>
                  <w:vAlign w:val="center"/>
                </w:tcPr>
                <w:p w14:paraId="44230221">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氮氧化物</w:t>
                  </w:r>
                </w:p>
              </w:tc>
              <w:tc>
                <w:tcPr>
                  <w:tcW w:w="1486" w:type="dxa"/>
                  <w:tcBorders>
                    <w:tl2br w:val="nil"/>
                    <w:tr2bl w:val="nil"/>
                  </w:tcBorders>
                  <w:noWrap w:val="0"/>
                  <w:vAlign w:val="center"/>
                </w:tcPr>
                <w:p w14:paraId="19A512D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bidi="ar-SA"/>
                    </w:rPr>
                    <w:t>3.9</w:t>
                  </w:r>
                </w:p>
              </w:tc>
              <w:tc>
                <w:tcPr>
                  <w:tcW w:w="1199" w:type="dxa"/>
                  <w:tcBorders>
                    <w:tl2br w:val="nil"/>
                    <w:tr2bl w:val="nil"/>
                  </w:tcBorders>
                  <w:noWrap w:val="0"/>
                  <w:vAlign w:val="center"/>
                </w:tcPr>
                <w:p w14:paraId="639B016A">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w:t>
                  </w:r>
                </w:p>
              </w:tc>
              <w:tc>
                <w:tcPr>
                  <w:tcW w:w="1196" w:type="dxa"/>
                  <w:tcBorders>
                    <w:tl2br w:val="nil"/>
                    <w:tr2bl w:val="nil"/>
                  </w:tcBorders>
                  <w:noWrap w:val="0"/>
                  <w:vAlign w:val="center"/>
                </w:tcPr>
                <w:p w14:paraId="563AC6C3">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3.9</w:t>
                  </w:r>
                </w:p>
              </w:tc>
              <w:tc>
                <w:tcPr>
                  <w:tcW w:w="1198" w:type="dxa"/>
                  <w:tcBorders>
                    <w:tl2br w:val="nil"/>
                    <w:tr2bl w:val="nil"/>
                  </w:tcBorders>
                  <w:noWrap w:val="0"/>
                  <w:vAlign w:val="center"/>
                </w:tcPr>
                <w:p w14:paraId="6DE6E9F0">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rPr>
                    <w:t>38.55</w:t>
                  </w:r>
                </w:p>
              </w:tc>
              <w:tc>
                <w:tcPr>
                  <w:tcW w:w="1153" w:type="dxa"/>
                  <w:tcBorders>
                    <w:tl2br w:val="nil"/>
                    <w:tr2bl w:val="nil"/>
                  </w:tcBorders>
                  <w:noWrap w:val="0"/>
                  <w:vAlign w:val="center"/>
                </w:tcPr>
                <w:p w14:paraId="2EED31E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rPr>
                    <w:t>满足</w:t>
                  </w:r>
                </w:p>
              </w:tc>
            </w:tr>
          </w:tbl>
          <w:p w14:paraId="68E922FE">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highlight w:val="none"/>
                <w:lang w:val="en-US" w:eastAsia="zh-CN"/>
              </w:rPr>
              <w:t>上述可知，本工程颗粒物排放量为0.57t/a，全厂核定颗粒物排放量为1.02t/a，小于长治市生态环境局潞城分局已下发的总量批复（潞环函[2017]51号）取得的颗粒物7.04t/a，因此可不申请总量。</w:t>
            </w:r>
          </w:p>
          <w:p w14:paraId="1ADD0AF3">
            <w:pPr>
              <w:rPr>
                <w:rFonts w:ascii="Times New Roman" w:hAnsi="Times New Roman" w:eastAsia="宋体" w:cs="Times New Roman"/>
                <w:color w:val="auto"/>
                <w:sz w:val="24"/>
                <w:szCs w:val="24"/>
                <w:lang w:eastAsia="zh-CN"/>
              </w:rPr>
            </w:pPr>
          </w:p>
          <w:p w14:paraId="27F7336B">
            <w:pPr>
              <w:rPr>
                <w:rFonts w:ascii="Times New Roman" w:hAnsi="Times New Roman" w:eastAsia="宋体" w:cs="Times New Roman"/>
                <w:color w:val="auto"/>
                <w:sz w:val="24"/>
                <w:szCs w:val="24"/>
                <w:lang w:eastAsia="zh-CN"/>
              </w:rPr>
            </w:pPr>
          </w:p>
          <w:p w14:paraId="02C84AC3">
            <w:pPr>
              <w:rPr>
                <w:rFonts w:hint="eastAsia" w:ascii="Times New Roman" w:hAnsi="Times New Roman" w:eastAsia="宋体" w:cs="Times New Roman"/>
                <w:color w:val="auto"/>
                <w:sz w:val="24"/>
                <w:szCs w:val="24"/>
                <w:lang w:eastAsia="zh-CN"/>
              </w:rPr>
            </w:pPr>
          </w:p>
          <w:p w14:paraId="3B1BC129">
            <w:pPr>
              <w:rPr>
                <w:rFonts w:hint="eastAsia" w:ascii="Times New Roman" w:hAnsi="Times New Roman" w:eastAsia="宋体" w:cs="Times New Roman"/>
                <w:color w:val="auto"/>
                <w:sz w:val="24"/>
                <w:szCs w:val="24"/>
                <w:lang w:eastAsia="zh-CN"/>
              </w:rPr>
            </w:pPr>
          </w:p>
          <w:p w14:paraId="65957335">
            <w:pPr>
              <w:rPr>
                <w:rFonts w:hint="eastAsia" w:ascii="Times New Roman" w:hAnsi="Times New Roman" w:eastAsia="宋体" w:cs="Times New Roman"/>
                <w:color w:val="auto"/>
                <w:sz w:val="24"/>
                <w:szCs w:val="24"/>
                <w:lang w:eastAsia="zh-CN"/>
              </w:rPr>
            </w:pPr>
          </w:p>
          <w:p w14:paraId="0EE00BE0">
            <w:pPr>
              <w:rPr>
                <w:rFonts w:hint="eastAsia" w:ascii="Times New Roman" w:hAnsi="Times New Roman" w:eastAsia="宋体" w:cs="Times New Roman"/>
                <w:color w:val="auto"/>
                <w:sz w:val="24"/>
                <w:szCs w:val="24"/>
                <w:lang w:eastAsia="zh-CN"/>
              </w:rPr>
            </w:pPr>
          </w:p>
          <w:p w14:paraId="1FED4365">
            <w:pPr>
              <w:rPr>
                <w:rFonts w:hint="eastAsia" w:ascii="Times New Roman" w:hAnsi="Times New Roman" w:eastAsia="宋体" w:cs="Times New Roman"/>
                <w:color w:val="auto"/>
                <w:sz w:val="24"/>
                <w:szCs w:val="24"/>
                <w:lang w:eastAsia="zh-CN"/>
              </w:rPr>
            </w:pPr>
          </w:p>
          <w:p w14:paraId="7A5B7863">
            <w:pPr>
              <w:rPr>
                <w:rFonts w:hint="eastAsia" w:ascii="Times New Roman" w:hAnsi="Times New Roman" w:eastAsia="宋体" w:cs="Times New Roman"/>
                <w:color w:val="auto"/>
                <w:sz w:val="24"/>
                <w:szCs w:val="24"/>
                <w:lang w:eastAsia="zh-CN"/>
              </w:rPr>
            </w:pPr>
          </w:p>
          <w:p w14:paraId="0AE20315">
            <w:pPr>
              <w:rPr>
                <w:rFonts w:hint="eastAsia" w:ascii="Times New Roman" w:hAnsi="Times New Roman" w:eastAsia="宋体" w:cs="Times New Roman"/>
                <w:color w:val="auto"/>
                <w:sz w:val="24"/>
                <w:szCs w:val="24"/>
                <w:lang w:eastAsia="zh-CN"/>
              </w:rPr>
            </w:pPr>
          </w:p>
          <w:p w14:paraId="1A24C2E6">
            <w:pPr>
              <w:rPr>
                <w:rFonts w:hint="eastAsia" w:ascii="Times New Roman" w:hAnsi="Times New Roman" w:eastAsia="宋体" w:cs="Times New Roman"/>
                <w:color w:val="auto"/>
                <w:sz w:val="24"/>
                <w:szCs w:val="24"/>
                <w:lang w:eastAsia="zh-CN"/>
              </w:rPr>
            </w:pPr>
          </w:p>
          <w:p w14:paraId="5512FB3F">
            <w:pPr>
              <w:rPr>
                <w:rFonts w:hint="eastAsia" w:ascii="Times New Roman" w:hAnsi="Times New Roman" w:eastAsia="宋体" w:cs="Times New Roman"/>
                <w:color w:val="auto"/>
                <w:sz w:val="24"/>
                <w:szCs w:val="24"/>
                <w:lang w:eastAsia="zh-CN"/>
              </w:rPr>
            </w:pPr>
          </w:p>
          <w:p w14:paraId="70909D7B">
            <w:pPr>
              <w:rPr>
                <w:rFonts w:hint="eastAsia" w:ascii="Times New Roman" w:hAnsi="Times New Roman" w:eastAsia="宋体" w:cs="Times New Roman"/>
                <w:color w:val="auto"/>
                <w:sz w:val="24"/>
                <w:szCs w:val="24"/>
                <w:lang w:eastAsia="zh-CN"/>
              </w:rPr>
            </w:pPr>
          </w:p>
          <w:p w14:paraId="215AA8FC">
            <w:pPr>
              <w:rPr>
                <w:rFonts w:ascii="Times New Roman" w:hAnsi="Times New Roman" w:eastAsia="宋体" w:cs="Times New Roman"/>
                <w:color w:val="auto"/>
                <w:sz w:val="24"/>
                <w:szCs w:val="24"/>
                <w:lang w:eastAsia="zh-CN"/>
              </w:rPr>
            </w:pPr>
          </w:p>
        </w:tc>
      </w:tr>
    </w:tbl>
    <w:p w14:paraId="75E75C25">
      <w:pPr>
        <w:rPr>
          <w:rFonts w:ascii="Times New Roman" w:hAnsi="Times New Roman" w:eastAsia="宋体" w:cs="Times New Roman"/>
          <w:color w:val="auto"/>
          <w:lang w:eastAsia="zh-CN"/>
        </w:rPr>
      </w:pPr>
      <w:r>
        <w:rPr>
          <w:rFonts w:ascii="Times New Roman" w:hAnsi="Times New Roman" w:eastAsia="宋体" w:cs="Times New Roman"/>
          <w:color w:val="auto"/>
          <w:lang w:eastAsia="zh-CN"/>
        </w:rPr>
        <w:br w:type="page"/>
      </w:r>
    </w:p>
    <w:p w14:paraId="2C3FBF3E">
      <w:pPr>
        <w:pStyle w:val="16"/>
        <w:spacing w:before="0" w:line="360" w:lineRule="auto"/>
        <w:ind w:left="0"/>
        <w:jc w:val="center"/>
        <w:outlineLvl w:val="0"/>
        <w:rPr>
          <w:rFonts w:ascii="Times New Roman" w:hAnsi="Times New Roman" w:eastAsia="宋体" w:cs="Times New Roman"/>
          <w:color w:val="auto"/>
          <w:lang w:eastAsia="zh-CN"/>
        </w:rPr>
      </w:pPr>
      <w:bookmarkStart w:id="17" w:name="_Toc10309"/>
      <w:r>
        <w:rPr>
          <w:rFonts w:ascii="Times New Roman" w:hAnsi="Times New Roman" w:eastAsia="宋体" w:cs="Times New Roman"/>
          <w:color w:val="auto"/>
          <w:lang w:eastAsia="zh-CN"/>
        </w:rPr>
        <w:t>四、主要环境影响和保护措施</w:t>
      </w:r>
      <w:bookmarkEnd w:id="17"/>
    </w:p>
    <w:tbl>
      <w:tblPr>
        <w:tblStyle w:val="32"/>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6"/>
        <w:gridCol w:w="8265"/>
      </w:tblGrid>
      <w:tr w14:paraId="2879ED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06" w:type="dxa"/>
            <w:tcBorders>
              <w:tl2br w:val="nil"/>
              <w:tr2bl w:val="nil"/>
            </w:tcBorders>
            <w:vAlign w:val="center"/>
          </w:tcPr>
          <w:p w14:paraId="0DC72B58">
            <w:pPr>
              <w:pStyle w:val="42"/>
              <w:jc w:val="center"/>
              <w:rPr>
                <w:rFonts w:ascii="Times New Roman" w:hAnsi="Times New Roman" w:eastAsia="宋体" w:cs="Times New Roman"/>
                <w:color w:val="auto"/>
                <w:sz w:val="24"/>
                <w:szCs w:val="24"/>
              </w:rPr>
            </w:pPr>
            <w:r>
              <w:rPr>
                <w:rFonts w:ascii="Times New Roman" w:hAnsi="Times New Roman" w:eastAsia="宋体" w:cs="Times New Roman"/>
                <w:color w:val="auto"/>
                <w:spacing w:val="-11"/>
                <w:sz w:val="24"/>
                <w:szCs w:val="24"/>
              </w:rPr>
              <w:t>施工期环境保护措施</w:t>
            </w:r>
          </w:p>
        </w:tc>
        <w:tc>
          <w:tcPr>
            <w:tcW w:w="8265" w:type="dxa"/>
            <w:tcBorders>
              <w:tl2br w:val="nil"/>
              <w:tr2bl w:val="nil"/>
            </w:tcBorders>
            <w:vAlign w:val="center"/>
          </w:tcPr>
          <w:p w14:paraId="4F0B0F04">
            <w:pPr>
              <w:spacing w:line="360" w:lineRule="auto"/>
              <w:ind w:firstLine="480" w:firstLineChars="200"/>
              <w:jc w:val="both"/>
              <w:rPr>
                <w:rFonts w:ascii="宋体" w:hAnsi="宋体" w:eastAsia="宋体" w:cs="Times New Roman"/>
                <w:color w:val="auto"/>
                <w:sz w:val="24"/>
                <w:szCs w:val="24"/>
                <w:lang w:eastAsia="zh-CN"/>
              </w:rPr>
            </w:pPr>
            <w:r>
              <w:rPr>
                <w:rFonts w:hint="eastAsia" w:ascii="宋体" w:hAnsi="宋体" w:eastAsia="宋体" w:cs="Times New Roman"/>
                <w:color w:val="auto"/>
                <w:sz w:val="24"/>
                <w:szCs w:val="24"/>
                <w:lang w:eastAsia="zh-CN"/>
              </w:rPr>
              <w:t>施工期间主要环境问题产生于施工过程中的设备安装调试等，产生的污染物主要有噪声和固体废物。</w:t>
            </w:r>
          </w:p>
          <w:p w14:paraId="09ACB953">
            <w:pPr>
              <w:spacing w:line="360" w:lineRule="auto"/>
              <w:ind w:firstLine="482" w:firstLineChars="200"/>
              <w:rPr>
                <w:rFonts w:ascii="宋体" w:hAnsi="宋体" w:eastAsia="宋体" w:cs="宋体"/>
                <w:b/>
                <w:bCs/>
                <w:color w:val="auto"/>
                <w:sz w:val="24"/>
                <w:lang w:eastAsia="zh-CN"/>
              </w:rPr>
            </w:pPr>
            <w:r>
              <w:rPr>
                <w:rFonts w:hint="default" w:ascii="Times New Roman" w:hAnsi="Times New Roman" w:eastAsia="宋体" w:cs="Times New Roman"/>
                <w:b/>
                <w:bCs/>
                <w:color w:val="auto"/>
                <w:sz w:val="24"/>
                <w:lang w:val="en-US" w:eastAsia="zh-CN"/>
              </w:rPr>
              <w:t>4.1</w:t>
            </w:r>
            <w:r>
              <w:rPr>
                <w:rFonts w:hint="eastAsia" w:ascii="宋体" w:hAnsi="宋体" w:eastAsia="宋体" w:cs="宋体"/>
                <w:b/>
                <w:bCs/>
                <w:color w:val="auto"/>
                <w:sz w:val="24"/>
                <w:lang w:val="en-US" w:eastAsia="zh-CN"/>
              </w:rPr>
              <w:t>噪声</w:t>
            </w:r>
          </w:p>
          <w:p w14:paraId="60BF3B0E">
            <w:pPr>
              <w:adjustRightInd w:val="0"/>
              <w:snapToGrid w:val="0"/>
              <w:spacing w:line="360" w:lineRule="auto"/>
              <w:ind w:firstLine="480" w:firstLineChars="200"/>
              <w:rPr>
                <w:rFonts w:ascii="Times New Roman" w:hAnsi="Times New Roman" w:cs="Times New Roman"/>
                <w:color w:val="auto"/>
                <w:sz w:val="24"/>
                <w:lang w:eastAsia="zh-CN"/>
              </w:rPr>
            </w:pPr>
            <w:r>
              <w:rPr>
                <w:rFonts w:hint="eastAsia" w:ascii="Times New Roman" w:hAnsi="Times New Roman" w:cs="Times New Roman"/>
                <w:color w:val="auto"/>
                <w:sz w:val="24"/>
                <w:lang w:eastAsia="zh-CN"/>
              </w:rPr>
              <w:t>（1）源强</w:t>
            </w:r>
          </w:p>
          <w:p w14:paraId="7F37C3AE">
            <w:pPr>
              <w:adjustRightInd w:val="0"/>
              <w:snapToGrid w:val="0"/>
              <w:spacing w:line="360" w:lineRule="auto"/>
              <w:ind w:firstLine="480" w:firstLineChars="200"/>
              <w:rPr>
                <w:rFonts w:ascii="Times New Roman" w:hAnsi="Times New Roman" w:cs="Times New Roman"/>
                <w:color w:val="auto"/>
                <w:sz w:val="24"/>
                <w:lang w:eastAsia="zh-CN"/>
              </w:rPr>
            </w:pPr>
            <w:r>
              <w:rPr>
                <w:rFonts w:ascii="Times New Roman" w:hAnsi="Times New Roman" w:cs="Times New Roman"/>
                <w:color w:val="auto"/>
                <w:sz w:val="24"/>
                <w:lang w:eastAsia="zh-CN"/>
              </w:rPr>
              <w:t>噪声主要来自建筑施工、装修过程。建设期间产生的噪声具有阶段性、临时性和不固定性。《环境噪声与振动控制工程设计导则》(HJ2034-2013)附录A中列出了常用施工机械所产生的噪声值，具体见表</w:t>
            </w:r>
            <w:r>
              <w:rPr>
                <w:rFonts w:hint="eastAsia" w:ascii="Times New Roman" w:hAnsi="Times New Roman" w:cs="Times New Roman"/>
                <w:color w:val="auto"/>
                <w:sz w:val="24"/>
                <w:lang w:eastAsia="zh-CN"/>
              </w:rPr>
              <w:t>4-1</w:t>
            </w:r>
            <w:r>
              <w:rPr>
                <w:rFonts w:ascii="Times New Roman" w:hAnsi="Times New Roman" w:cs="Times New Roman"/>
                <w:color w:val="auto"/>
                <w:sz w:val="24"/>
                <w:lang w:eastAsia="zh-CN"/>
              </w:rPr>
              <w:t>。</w:t>
            </w:r>
          </w:p>
          <w:p w14:paraId="50E201F9">
            <w:pPr>
              <w:tabs>
                <w:tab w:val="left" w:pos="6678"/>
              </w:tabs>
              <w:snapToGrid w:val="0"/>
              <w:jc w:val="center"/>
              <w:rPr>
                <w:rFonts w:ascii="Times New Roman" w:hAnsi="Times New Roman" w:cs="Times New Roman" w:eastAsiaTheme="minorEastAsia"/>
                <w:b/>
                <w:color w:val="auto"/>
                <w:sz w:val="21"/>
                <w:szCs w:val="21"/>
                <w:lang w:eastAsia="zh-CN"/>
              </w:rPr>
            </w:pPr>
            <w:r>
              <w:rPr>
                <w:rFonts w:ascii="Times New Roman" w:hAnsi="Times New Roman" w:cs="Times New Roman" w:eastAsiaTheme="minorEastAsia"/>
                <w:b/>
                <w:color w:val="auto"/>
                <w:sz w:val="21"/>
                <w:szCs w:val="21"/>
                <w:lang w:eastAsia="zh-CN"/>
              </w:rPr>
              <w:t>表</w:t>
            </w:r>
            <w:r>
              <w:rPr>
                <w:rFonts w:hint="eastAsia" w:ascii="Times New Roman" w:hAnsi="Times New Roman" w:cs="Times New Roman" w:eastAsiaTheme="minorEastAsia"/>
                <w:b/>
                <w:color w:val="auto"/>
                <w:sz w:val="21"/>
                <w:szCs w:val="21"/>
                <w:lang w:eastAsia="zh-CN"/>
              </w:rPr>
              <w:t>4</w:t>
            </w:r>
            <w:r>
              <w:rPr>
                <w:rFonts w:hint="eastAsia" w:ascii="Times New Roman" w:hAnsi="Times New Roman" w:cs="Times New Roman" w:eastAsiaTheme="minorEastAsia"/>
                <w:b/>
                <w:color w:val="auto"/>
                <w:sz w:val="21"/>
                <w:szCs w:val="21"/>
                <w:lang w:val="en-US" w:eastAsia="zh-CN"/>
              </w:rPr>
              <w:t>.1</w:t>
            </w:r>
            <w:r>
              <w:rPr>
                <w:rFonts w:hint="eastAsia" w:ascii="Times New Roman" w:hAnsi="Times New Roman" w:cs="Times New Roman" w:eastAsiaTheme="minorEastAsia"/>
                <w:b/>
                <w:color w:val="auto"/>
                <w:sz w:val="21"/>
                <w:szCs w:val="21"/>
                <w:lang w:eastAsia="zh-CN"/>
              </w:rPr>
              <w:t>-1</w:t>
            </w:r>
            <w:r>
              <w:rPr>
                <w:rFonts w:ascii="Times New Roman" w:hAnsi="Times New Roman" w:cs="Times New Roman" w:eastAsiaTheme="minorEastAsia"/>
                <w:b/>
                <w:color w:val="auto"/>
                <w:sz w:val="21"/>
                <w:szCs w:val="21"/>
                <w:lang w:eastAsia="zh-CN"/>
              </w:rPr>
              <w:t xml:space="preserve">  常用施工机械噪声值单位：dB（A）</w:t>
            </w:r>
          </w:p>
          <w:tbl>
            <w:tblPr>
              <w:tblStyle w:val="32"/>
              <w:tblW w:w="495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475"/>
              <w:gridCol w:w="1193"/>
              <w:gridCol w:w="1305"/>
              <w:gridCol w:w="1681"/>
              <w:gridCol w:w="1193"/>
              <w:gridCol w:w="1305"/>
            </w:tblGrid>
            <w:tr w14:paraId="5107CFD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474" w:type="dxa"/>
                  <w:tcBorders>
                    <w:tl2br w:val="nil"/>
                    <w:tr2bl w:val="nil"/>
                  </w:tcBorders>
                  <w:vAlign w:val="center"/>
                </w:tcPr>
                <w:p w14:paraId="52D770FC">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施工设备名称</w:t>
                  </w:r>
                </w:p>
              </w:tc>
              <w:tc>
                <w:tcPr>
                  <w:tcW w:w="1193" w:type="dxa"/>
                  <w:tcBorders>
                    <w:tl2br w:val="nil"/>
                    <w:tr2bl w:val="nil"/>
                  </w:tcBorders>
                  <w:vAlign w:val="center"/>
                </w:tcPr>
                <w:p w14:paraId="08631212">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距声源5m</w:t>
                  </w:r>
                </w:p>
              </w:tc>
              <w:tc>
                <w:tcPr>
                  <w:tcW w:w="1305" w:type="dxa"/>
                  <w:tcBorders>
                    <w:tl2br w:val="nil"/>
                    <w:tr2bl w:val="nil"/>
                  </w:tcBorders>
                  <w:vAlign w:val="center"/>
                </w:tcPr>
                <w:p w14:paraId="36FDB7DD">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距声源10m</w:t>
                  </w:r>
                </w:p>
              </w:tc>
              <w:tc>
                <w:tcPr>
                  <w:tcW w:w="1680" w:type="dxa"/>
                  <w:tcBorders>
                    <w:tl2br w:val="nil"/>
                    <w:tr2bl w:val="nil"/>
                  </w:tcBorders>
                  <w:vAlign w:val="center"/>
                </w:tcPr>
                <w:p w14:paraId="4D072666">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施工设备名称</w:t>
                  </w:r>
                </w:p>
              </w:tc>
              <w:tc>
                <w:tcPr>
                  <w:tcW w:w="1193" w:type="dxa"/>
                  <w:tcBorders>
                    <w:tl2br w:val="nil"/>
                    <w:tr2bl w:val="nil"/>
                  </w:tcBorders>
                  <w:vAlign w:val="center"/>
                </w:tcPr>
                <w:p w14:paraId="04B595B0">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距声源5m</w:t>
                  </w:r>
                </w:p>
              </w:tc>
              <w:tc>
                <w:tcPr>
                  <w:tcW w:w="1305" w:type="dxa"/>
                  <w:tcBorders>
                    <w:tl2br w:val="nil"/>
                    <w:tr2bl w:val="nil"/>
                  </w:tcBorders>
                  <w:vAlign w:val="center"/>
                </w:tcPr>
                <w:p w14:paraId="6D00E9EF">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距声源10m</w:t>
                  </w:r>
                </w:p>
              </w:tc>
            </w:tr>
            <w:tr w14:paraId="1787D48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474" w:type="dxa"/>
                  <w:tcBorders>
                    <w:tl2br w:val="nil"/>
                    <w:tr2bl w:val="nil"/>
                  </w:tcBorders>
                  <w:vAlign w:val="center"/>
                </w:tcPr>
                <w:p w14:paraId="22A2041D">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重型运输车</w:t>
                  </w:r>
                </w:p>
              </w:tc>
              <w:tc>
                <w:tcPr>
                  <w:tcW w:w="1193" w:type="dxa"/>
                  <w:tcBorders>
                    <w:tl2br w:val="nil"/>
                    <w:tr2bl w:val="nil"/>
                  </w:tcBorders>
                  <w:vAlign w:val="center"/>
                </w:tcPr>
                <w:p w14:paraId="5EDB378C">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82～90</w:t>
                  </w:r>
                </w:p>
              </w:tc>
              <w:tc>
                <w:tcPr>
                  <w:tcW w:w="1305" w:type="dxa"/>
                  <w:tcBorders>
                    <w:tl2br w:val="nil"/>
                    <w:tr2bl w:val="nil"/>
                  </w:tcBorders>
                  <w:vAlign w:val="center"/>
                </w:tcPr>
                <w:p w14:paraId="6A947DF6">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78～86</w:t>
                  </w:r>
                </w:p>
              </w:tc>
              <w:tc>
                <w:tcPr>
                  <w:tcW w:w="1680" w:type="dxa"/>
                  <w:tcBorders>
                    <w:tl2br w:val="nil"/>
                    <w:tr2bl w:val="nil"/>
                  </w:tcBorders>
                  <w:vAlign w:val="center"/>
                </w:tcPr>
                <w:p w14:paraId="2DCCFFD7">
                  <w:pPr>
                    <w:adjustRightInd w:val="0"/>
                    <w:snapToGrid w:val="0"/>
                    <w:jc w:val="center"/>
                    <w:rPr>
                      <w:rFonts w:ascii="Times New Roman" w:hAnsi="Times New Roman" w:cs="Times New Roman" w:eastAsiaTheme="minorEastAsia"/>
                      <w:color w:val="auto"/>
                      <w:sz w:val="21"/>
                      <w:szCs w:val="21"/>
                      <w:lang w:val="en-US" w:eastAsia="en-US" w:bidi="ar-SA"/>
                    </w:rPr>
                  </w:pPr>
                  <w:r>
                    <w:rPr>
                      <w:rFonts w:ascii="Times New Roman" w:hAnsi="Times New Roman" w:cs="Times New Roman" w:eastAsiaTheme="minorEastAsia"/>
                      <w:color w:val="auto"/>
                      <w:sz w:val="21"/>
                      <w:szCs w:val="21"/>
                    </w:rPr>
                    <w:t>云石机、角磨机</w:t>
                  </w:r>
                </w:p>
              </w:tc>
              <w:tc>
                <w:tcPr>
                  <w:tcW w:w="1193" w:type="dxa"/>
                  <w:tcBorders>
                    <w:tl2br w:val="nil"/>
                    <w:tr2bl w:val="nil"/>
                  </w:tcBorders>
                  <w:vAlign w:val="center"/>
                </w:tcPr>
                <w:p w14:paraId="36F08610">
                  <w:pPr>
                    <w:adjustRightInd w:val="0"/>
                    <w:snapToGrid w:val="0"/>
                    <w:jc w:val="center"/>
                    <w:rPr>
                      <w:rFonts w:ascii="Times New Roman" w:hAnsi="Times New Roman" w:cs="Times New Roman" w:eastAsiaTheme="minorEastAsia"/>
                      <w:color w:val="auto"/>
                      <w:sz w:val="21"/>
                      <w:szCs w:val="21"/>
                      <w:lang w:val="en-US" w:eastAsia="en-US" w:bidi="ar-SA"/>
                    </w:rPr>
                  </w:pPr>
                  <w:r>
                    <w:rPr>
                      <w:rFonts w:ascii="Times New Roman" w:hAnsi="Times New Roman" w:cs="Times New Roman" w:eastAsiaTheme="minorEastAsia"/>
                      <w:color w:val="auto"/>
                      <w:sz w:val="21"/>
                      <w:szCs w:val="21"/>
                    </w:rPr>
                    <w:t>90～96</w:t>
                  </w:r>
                </w:p>
              </w:tc>
              <w:tc>
                <w:tcPr>
                  <w:tcW w:w="1305" w:type="dxa"/>
                  <w:tcBorders>
                    <w:tl2br w:val="nil"/>
                    <w:tr2bl w:val="nil"/>
                  </w:tcBorders>
                  <w:vAlign w:val="center"/>
                </w:tcPr>
                <w:p w14:paraId="4FE5921C">
                  <w:pPr>
                    <w:adjustRightInd w:val="0"/>
                    <w:snapToGrid w:val="0"/>
                    <w:jc w:val="center"/>
                    <w:rPr>
                      <w:rFonts w:ascii="Times New Roman" w:hAnsi="Times New Roman" w:cs="Times New Roman" w:eastAsiaTheme="minorEastAsia"/>
                      <w:color w:val="auto"/>
                      <w:sz w:val="21"/>
                      <w:szCs w:val="21"/>
                      <w:lang w:val="en-US" w:eastAsia="en-US" w:bidi="ar-SA"/>
                    </w:rPr>
                  </w:pPr>
                  <w:r>
                    <w:rPr>
                      <w:rFonts w:ascii="Times New Roman" w:hAnsi="Times New Roman" w:cs="Times New Roman" w:eastAsiaTheme="minorEastAsia"/>
                      <w:color w:val="auto"/>
                      <w:sz w:val="21"/>
                      <w:szCs w:val="21"/>
                    </w:rPr>
                    <w:t>84～90</w:t>
                  </w:r>
                </w:p>
              </w:tc>
            </w:tr>
            <w:tr w14:paraId="368A07D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474" w:type="dxa"/>
                  <w:tcBorders>
                    <w:tl2br w:val="nil"/>
                    <w:tr2bl w:val="nil"/>
                  </w:tcBorders>
                  <w:vAlign w:val="center"/>
                </w:tcPr>
                <w:p w14:paraId="761A43D8">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木工电锯</w:t>
                  </w:r>
                </w:p>
              </w:tc>
              <w:tc>
                <w:tcPr>
                  <w:tcW w:w="1193" w:type="dxa"/>
                  <w:tcBorders>
                    <w:tl2br w:val="nil"/>
                    <w:tr2bl w:val="nil"/>
                  </w:tcBorders>
                  <w:vAlign w:val="center"/>
                </w:tcPr>
                <w:p w14:paraId="75A09E51">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93～99</w:t>
                  </w:r>
                </w:p>
              </w:tc>
              <w:tc>
                <w:tcPr>
                  <w:tcW w:w="1305" w:type="dxa"/>
                  <w:tcBorders>
                    <w:tl2br w:val="nil"/>
                    <w:tr2bl w:val="nil"/>
                  </w:tcBorders>
                  <w:vAlign w:val="center"/>
                </w:tcPr>
                <w:p w14:paraId="10715656">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90～95</w:t>
                  </w:r>
                </w:p>
              </w:tc>
              <w:tc>
                <w:tcPr>
                  <w:tcW w:w="1680" w:type="dxa"/>
                  <w:tcBorders>
                    <w:tl2br w:val="nil"/>
                    <w:tr2bl w:val="nil"/>
                  </w:tcBorders>
                  <w:vAlign w:val="center"/>
                </w:tcPr>
                <w:p w14:paraId="11D8FDE5">
                  <w:pPr>
                    <w:adjustRightInd w:val="0"/>
                    <w:snapToGrid w:val="0"/>
                    <w:jc w:val="center"/>
                    <w:rPr>
                      <w:rFonts w:ascii="Times New Roman" w:hAnsi="Times New Roman" w:cs="Times New Roman" w:eastAsiaTheme="minorEastAsia"/>
                      <w:color w:val="auto"/>
                      <w:sz w:val="21"/>
                      <w:szCs w:val="21"/>
                      <w:lang w:val="en-US" w:eastAsia="en-US" w:bidi="ar-SA"/>
                    </w:rPr>
                  </w:pPr>
                  <w:r>
                    <w:rPr>
                      <w:rFonts w:ascii="Times New Roman" w:hAnsi="Times New Roman" w:cs="Times New Roman" w:eastAsiaTheme="minorEastAsia"/>
                      <w:color w:val="auto"/>
                      <w:sz w:val="21"/>
                      <w:szCs w:val="21"/>
                    </w:rPr>
                    <w:t>空压机</w:t>
                  </w:r>
                </w:p>
              </w:tc>
              <w:tc>
                <w:tcPr>
                  <w:tcW w:w="1193" w:type="dxa"/>
                  <w:tcBorders>
                    <w:tl2br w:val="nil"/>
                    <w:tr2bl w:val="nil"/>
                  </w:tcBorders>
                  <w:vAlign w:val="center"/>
                </w:tcPr>
                <w:p w14:paraId="35348382">
                  <w:pPr>
                    <w:adjustRightInd w:val="0"/>
                    <w:snapToGrid w:val="0"/>
                    <w:jc w:val="center"/>
                    <w:rPr>
                      <w:rFonts w:ascii="Times New Roman" w:hAnsi="Times New Roman" w:cs="Times New Roman" w:eastAsiaTheme="minorEastAsia"/>
                      <w:color w:val="auto"/>
                      <w:sz w:val="21"/>
                      <w:szCs w:val="21"/>
                      <w:lang w:val="en-US" w:eastAsia="en-US" w:bidi="ar-SA"/>
                    </w:rPr>
                  </w:pPr>
                  <w:r>
                    <w:rPr>
                      <w:rFonts w:ascii="Times New Roman" w:hAnsi="Times New Roman" w:cs="Times New Roman" w:eastAsiaTheme="minorEastAsia"/>
                      <w:color w:val="auto"/>
                      <w:sz w:val="21"/>
                      <w:szCs w:val="21"/>
                    </w:rPr>
                    <w:t>88～92</w:t>
                  </w:r>
                </w:p>
              </w:tc>
              <w:tc>
                <w:tcPr>
                  <w:tcW w:w="1305" w:type="dxa"/>
                  <w:tcBorders>
                    <w:tl2br w:val="nil"/>
                    <w:tr2bl w:val="nil"/>
                  </w:tcBorders>
                  <w:vAlign w:val="center"/>
                </w:tcPr>
                <w:p w14:paraId="5078A8D7">
                  <w:pPr>
                    <w:adjustRightInd w:val="0"/>
                    <w:snapToGrid w:val="0"/>
                    <w:jc w:val="center"/>
                    <w:rPr>
                      <w:rFonts w:ascii="Times New Roman" w:hAnsi="Times New Roman" w:cs="Times New Roman" w:eastAsiaTheme="minorEastAsia"/>
                      <w:color w:val="auto"/>
                      <w:sz w:val="21"/>
                      <w:szCs w:val="21"/>
                      <w:lang w:val="en-US" w:eastAsia="en-US" w:bidi="ar-SA"/>
                    </w:rPr>
                  </w:pPr>
                  <w:r>
                    <w:rPr>
                      <w:rFonts w:ascii="Times New Roman" w:hAnsi="Times New Roman" w:cs="Times New Roman" w:eastAsiaTheme="minorEastAsia"/>
                      <w:color w:val="auto"/>
                      <w:sz w:val="21"/>
                      <w:szCs w:val="21"/>
                    </w:rPr>
                    <w:t>83～88</w:t>
                  </w:r>
                </w:p>
              </w:tc>
            </w:tr>
          </w:tbl>
          <w:p w14:paraId="79B1B37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eastAsia="zh-CN"/>
              </w:rPr>
              <w:t>（2）预测</w:t>
            </w:r>
          </w:p>
          <w:p w14:paraId="356F5F5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施工噪声可按点声源处理，</w:t>
            </w:r>
            <w:r>
              <w:rPr>
                <w:rFonts w:hint="eastAsia" w:ascii="Times New Roman" w:hAnsi="Times New Roman" w:cs="Times New Roman" w:eastAsiaTheme="minorEastAsia"/>
                <w:color w:val="auto"/>
                <w:sz w:val="24"/>
                <w:szCs w:val="24"/>
                <w:lang w:eastAsia="zh-CN"/>
              </w:rPr>
              <w:t>参照</w:t>
            </w:r>
            <w:r>
              <w:rPr>
                <w:rFonts w:ascii="Times New Roman" w:hAnsi="Times New Roman" w:eastAsia="宋体" w:cs="Times New Roman"/>
                <w:bCs/>
                <w:color w:val="auto"/>
                <w:sz w:val="24"/>
                <w:lang w:eastAsia="zh-CN"/>
              </w:rPr>
              <w:t>《环境影响评价技术-声环境》（</w:t>
            </w:r>
            <w:r>
              <w:rPr>
                <w:rFonts w:hint="eastAsia" w:ascii="Times New Roman" w:hAnsi="Times New Roman" w:eastAsia="宋体" w:cs="Times New Roman"/>
                <w:bCs/>
                <w:color w:val="auto"/>
                <w:sz w:val="24"/>
                <w:lang w:eastAsia="zh-CN"/>
              </w:rPr>
              <w:t>HJ2.4-2021</w:t>
            </w:r>
            <w:r>
              <w:rPr>
                <w:rFonts w:ascii="Times New Roman" w:hAnsi="Times New Roman" w:eastAsia="宋体" w:cs="Times New Roman"/>
                <w:bCs/>
                <w:color w:val="auto"/>
                <w:sz w:val="24"/>
                <w:lang w:eastAsia="zh-CN"/>
              </w:rPr>
              <w:t>）</w:t>
            </w:r>
            <w:r>
              <w:rPr>
                <w:rFonts w:ascii="Times New Roman" w:hAnsi="Times New Roman" w:cs="Times New Roman" w:eastAsiaTheme="minorEastAsia"/>
                <w:color w:val="auto"/>
                <w:sz w:val="24"/>
                <w:szCs w:val="24"/>
                <w:lang w:eastAsia="zh-CN"/>
              </w:rPr>
              <w:t>点声源噪声衰减模式，估算出离声源不同距离处的噪声值，预测模式如下：</w:t>
            </w:r>
          </w:p>
          <w:p w14:paraId="0371B7BC">
            <w:pPr>
              <w:pStyle w:val="31"/>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Lp (r ) = Lp (r0 ) - 20lg(r/ r0 )</w:t>
            </w:r>
          </w:p>
          <w:p w14:paraId="642D105F">
            <w:pPr>
              <w:pStyle w:val="16"/>
              <w:keepNext w:val="0"/>
              <w:keepLines w:val="0"/>
              <w:pageBreakBefore w:val="0"/>
              <w:widowControl w:val="0"/>
              <w:kinsoku/>
              <w:wordWrap/>
              <w:overflowPunct/>
              <w:topLinePunct w:val="0"/>
              <w:autoSpaceDE/>
              <w:autoSpaceDN/>
              <w:bidi w:val="0"/>
              <w:adjustRightInd w:val="0"/>
              <w:snapToGrid w:val="0"/>
              <w:spacing w:before="0" w:line="360" w:lineRule="auto"/>
              <w:ind w:left="0" w:leftChars="0" w:firstLine="480" w:firstLineChars="200"/>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式中：Lp(r) ——预测点处声压级，dB；</w:t>
            </w:r>
          </w:p>
          <w:p w14:paraId="641D1EBE">
            <w:pPr>
              <w:pStyle w:val="16"/>
              <w:keepNext w:val="0"/>
              <w:keepLines w:val="0"/>
              <w:pageBreakBefore w:val="0"/>
              <w:widowControl w:val="0"/>
              <w:kinsoku/>
              <w:wordWrap/>
              <w:overflowPunct/>
              <w:topLinePunct w:val="0"/>
              <w:autoSpaceDE/>
              <w:autoSpaceDN/>
              <w:bidi w:val="0"/>
              <w:adjustRightInd w:val="0"/>
              <w:snapToGrid w:val="0"/>
              <w:spacing w:before="0" w:line="360" w:lineRule="auto"/>
              <w:ind w:left="0" w:leftChars="0" w:firstLine="480" w:firstLineChars="200"/>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Lp(r0) ——参考位置r0处的声压级，dB；</w:t>
            </w:r>
          </w:p>
          <w:p w14:paraId="3DE70F37">
            <w:pPr>
              <w:pStyle w:val="16"/>
              <w:keepNext w:val="0"/>
              <w:keepLines w:val="0"/>
              <w:pageBreakBefore w:val="0"/>
              <w:widowControl w:val="0"/>
              <w:kinsoku/>
              <w:wordWrap/>
              <w:overflowPunct/>
              <w:topLinePunct w:val="0"/>
              <w:autoSpaceDE/>
              <w:autoSpaceDN/>
              <w:bidi w:val="0"/>
              <w:adjustRightInd w:val="0"/>
              <w:snapToGrid w:val="0"/>
              <w:spacing w:before="0" w:line="360" w:lineRule="auto"/>
              <w:ind w:left="0" w:leftChars="0" w:firstLine="480" w:firstLineChars="200"/>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r ——预测点距声源的距离；</w:t>
            </w:r>
          </w:p>
          <w:p w14:paraId="68056434">
            <w:pPr>
              <w:pStyle w:val="16"/>
              <w:keepNext w:val="0"/>
              <w:keepLines w:val="0"/>
              <w:pageBreakBefore w:val="0"/>
              <w:widowControl w:val="0"/>
              <w:kinsoku/>
              <w:wordWrap/>
              <w:overflowPunct/>
              <w:topLinePunct w:val="0"/>
              <w:autoSpaceDE/>
              <w:autoSpaceDN/>
              <w:bidi w:val="0"/>
              <w:adjustRightInd w:val="0"/>
              <w:snapToGrid w:val="0"/>
              <w:spacing w:before="0" w:line="360" w:lineRule="auto"/>
              <w:ind w:left="0" w:leftChars="0" w:firstLine="480" w:firstLineChars="200"/>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r0——参考位置距声源的距离。</w:t>
            </w:r>
          </w:p>
          <w:p w14:paraId="6B66CAB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eastAsiaTheme="minorEastAsia"/>
                <w:color w:val="auto"/>
                <w:sz w:val="24"/>
                <w:szCs w:val="24"/>
                <w:lang w:eastAsia="zh-CN"/>
              </w:rPr>
            </w:pPr>
            <w:r>
              <w:rPr>
                <w:rFonts w:ascii="Times New Roman" w:hAnsi="Times New Roman" w:cs="Times New Roman" w:eastAsiaTheme="minorEastAsia"/>
                <w:color w:val="auto"/>
                <w:sz w:val="24"/>
                <w:szCs w:val="24"/>
                <w:lang w:eastAsia="zh-CN"/>
              </w:rPr>
              <w:t>根据预测模式对施工机械噪声的影响范围进行预测，预测结果见表</w:t>
            </w:r>
            <w:r>
              <w:rPr>
                <w:rFonts w:hint="eastAsia" w:ascii="Times New Roman" w:hAnsi="Times New Roman" w:cs="Times New Roman" w:eastAsiaTheme="minorEastAsia"/>
                <w:color w:val="auto"/>
                <w:sz w:val="24"/>
                <w:szCs w:val="24"/>
                <w:lang w:eastAsia="zh-CN"/>
              </w:rPr>
              <w:t>4-2</w:t>
            </w:r>
            <w:r>
              <w:rPr>
                <w:rFonts w:ascii="Times New Roman" w:hAnsi="Times New Roman" w:cs="Times New Roman" w:eastAsiaTheme="minorEastAsia"/>
                <w:color w:val="auto"/>
                <w:sz w:val="24"/>
                <w:szCs w:val="24"/>
                <w:lang w:eastAsia="zh-CN"/>
              </w:rPr>
              <w:t>。</w:t>
            </w:r>
          </w:p>
          <w:p w14:paraId="476DCACF">
            <w:pPr>
              <w:tabs>
                <w:tab w:val="left" w:pos="6678"/>
              </w:tabs>
              <w:snapToGrid w:val="0"/>
              <w:jc w:val="center"/>
              <w:rPr>
                <w:rFonts w:ascii="Times New Roman" w:hAnsi="Times New Roman" w:cs="Times New Roman" w:eastAsiaTheme="minorEastAsia"/>
                <w:b/>
                <w:color w:val="auto"/>
                <w:sz w:val="21"/>
                <w:szCs w:val="21"/>
                <w:lang w:eastAsia="zh-CN"/>
              </w:rPr>
            </w:pPr>
            <w:r>
              <w:rPr>
                <w:rFonts w:ascii="Times New Roman" w:hAnsi="Times New Roman" w:cs="Times New Roman" w:eastAsiaTheme="minorEastAsia"/>
                <w:b/>
                <w:color w:val="auto"/>
                <w:sz w:val="21"/>
                <w:szCs w:val="21"/>
                <w:lang w:eastAsia="zh-CN"/>
              </w:rPr>
              <w:t>表</w:t>
            </w:r>
            <w:r>
              <w:rPr>
                <w:rFonts w:hint="eastAsia" w:ascii="Times New Roman" w:hAnsi="Times New Roman" w:cs="Times New Roman" w:eastAsiaTheme="minorEastAsia"/>
                <w:b/>
                <w:color w:val="auto"/>
                <w:sz w:val="21"/>
                <w:szCs w:val="21"/>
                <w:lang w:eastAsia="zh-CN"/>
              </w:rPr>
              <w:t>4</w:t>
            </w:r>
            <w:r>
              <w:rPr>
                <w:rFonts w:hint="eastAsia" w:ascii="Times New Roman" w:hAnsi="Times New Roman" w:cs="Times New Roman" w:eastAsiaTheme="minorEastAsia"/>
                <w:b/>
                <w:color w:val="auto"/>
                <w:sz w:val="21"/>
                <w:szCs w:val="21"/>
                <w:lang w:val="en-US" w:eastAsia="zh-CN"/>
              </w:rPr>
              <w:t>.1</w:t>
            </w:r>
            <w:r>
              <w:rPr>
                <w:rFonts w:hint="eastAsia" w:ascii="Times New Roman" w:hAnsi="Times New Roman" w:cs="Times New Roman" w:eastAsiaTheme="minorEastAsia"/>
                <w:b/>
                <w:color w:val="auto"/>
                <w:sz w:val="21"/>
                <w:szCs w:val="21"/>
                <w:lang w:eastAsia="zh-CN"/>
              </w:rPr>
              <w:t>-2</w:t>
            </w:r>
            <w:r>
              <w:rPr>
                <w:rFonts w:ascii="Times New Roman" w:hAnsi="Times New Roman" w:cs="Times New Roman" w:eastAsiaTheme="minorEastAsia"/>
                <w:b/>
                <w:color w:val="auto"/>
                <w:sz w:val="21"/>
                <w:szCs w:val="21"/>
                <w:lang w:eastAsia="zh-CN"/>
              </w:rPr>
              <w:t xml:space="preserve"> 主要施工项目不同距离处的噪声值  单位：dB（A）</w:t>
            </w:r>
          </w:p>
          <w:tbl>
            <w:tblPr>
              <w:tblStyle w:val="32"/>
              <w:tblW w:w="495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2085"/>
              <w:gridCol w:w="858"/>
              <w:gridCol w:w="858"/>
              <w:gridCol w:w="859"/>
              <w:gridCol w:w="859"/>
              <w:gridCol w:w="858"/>
              <w:gridCol w:w="859"/>
              <w:gridCol w:w="916"/>
            </w:tblGrid>
            <w:tr w14:paraId="4FF4683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2144" w:type="dxa"/>
                  <w:tcBorders>
                    <w:tl2br w:val="nil"/>
                    <w:tr2bl w:val="nil"/>
                  </w:tcBorders>
                  <w:vAlign w:val="center"/>
                </w:tcPr>
                <w:p w14:paraId="0CBC5448">
                  <w:pPr>
                    <w:adjustRightInd w:val="0"/>
                    <w:snapToGrid w:val="0"/>
                    <w:jc w:val="both"/>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距离(m)</w:t>
                  </w:r>
                  <w:r>
                    <w:rPr>
                      <w:rFonts w:hint="eastAsia" w:ascii="Times New Roman" w:hAnsi="Times New Roman" w:cs="Times New Roman" w:eastAsiaTheme="minorEastAsia"/>
                      <w:b/>
                      <w:bCs/>
                      <w:color w:val="auto"/>
                      <w:sz w:val="21"/>
                      <w:szCs w:val="21"/>
                      <w:lang w:val="en-US" w:eastAsia="zh-CN"/>
                    </w:rPr>
                    <w:t>/</w:t>
                  </w:r>
                  <w:r>
                    <w:rPr>
                      <w:rFonts w:ascii="Times New Roman" w:hAnsi="Times New Roman" w:cs="Times New Roman" w:eastAsiaTheme="minorEastAsia"/>
                      <w:b/>
                      <w:bCs/>
                      <w:color w:val="auto"/>
                      <w:sz w:val="21"/>
                      <w:szCs w:val="21"/>
                    </w:rPr>
                    <w:t>设备名称</w:t>
                  </w:r>
                </w:p>
              </w:tc>
              <w:tc>
                <w:tcPr>
                  <w:tcW w:w="879" w:type="dxa"/>
                  <w:tcBorders>
                    <w:tl2br w:val="nil"/>
                    <w:tr2bl w:val="nil"/>
                  </w:tcBorders>
                  <w:vAlign w:val="center"/>
                </w:tcPr>
                <w:p w14:paraId="157A5608">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50</w:t>
                  </w:r>
                </w:p>
              </w:tc>
              <w:tc>
                <w:tcPr>
                  <w:tcW w:w="879" w:type="dxa"/>
                  <w:tcBorders>
                    <w:tl2br w:val="nil"/>
                    <w:tr2bl w:val="nil"/>
                  </w:tcBorders>
                  <w:vAlign w:val="center"/>
                </w:tcPr>
                <w:p w14:paraId="10FC53FC">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100</w:t>
                  </w:r>
                </w:p>
              </w:tc>
              <w:tc>
                <w:tcPr>
                  <w:tcW w:w="879" w:type="dxa"/>
                  <w:tcBorders>
                    <w:tl2br w:val="nil"/>
                    <w:tr2bl w:val="nil"/>
                  </w:tcBorders>
                  <w:vAlign w:val="center"/>
                </w:tcPr>
                <w:p w14:paraId="122F8CBC">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150</w:t>
                  </w:r>
                </w:p>
              </w:tc>
              <w:tc>
                <w:tcPr>
                  <w:tcW w:w="879" w:type="dxa"/>
                  <w:tcBorders>
                    <w:tl2br w:val="nil"/>
                    <w:tr2bl w:val="nil"/>
                  </w:tcBorders>
                  <w:vAlign w:val="center"/>
                </w:tcPr>
                <w:p w14:paraId="7710EA6B">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200</w:t>
                  </w:r>
                </w:p>
              </w:tc>
              <w:tc>
                <w:tcPr>
                  <w:tcW w:w="878" w:type="dxa"/>
                  <w:tcBorders>
                    <w:tl2br w:val="nil"/>
                    <w:tr2bl w:val="nil"/>
                  </w:tcBorders>
                  <w:vAlign w:val="center"/>
                </w:tcPr>
                <w:p w14:paraId="41EAC1A9">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250</w:t>
                  </w:r>
                </w:p>
              </w:tc>
              <w:tc>
                <w:tcPr>
                  <w:tcW w:w="879" w:type="dxa"/>
                  <w:tcBorders>
                    <w:tl2br w:val="nil"/>
                    <w:tr2bl w:val="nil"/>
                  </w:tcBorders>
                  <w:vAlign w:val="center"/>
                </w:tcPr>
                <w:p w14:paraId="750D3964">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300</w:t>
                  </w:r>
                </w:p>
              </w:tc>
              <w:tc>
                <w:tcPr>
                  <w:tcW w:w="938" w:type="dxa"/>
                  <w:tcBorders>
                    <w:tl2br w:val="nil"/>
                    <w:tr2bl w:val="nil"/>
                  </w:tcBorders>
                  <w:vAlign w:val="center"/>
                </w:tcPr>
                <w:p w14:paraId="78DA2DC4">
                  <w:pPr>
                    <w:adjustRightInd w:val="0"/>
                    <w:snapToGrid w:val="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400</w:t>
                  </w:r>
                </w:p>
              </w:tc>
            </w:tr>
            <w:tr w14:paraId="6757581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2144" w:type="dxa"/>
                  <w:tcBorders>
                    <w:tl2br w:val="nil"/>
                    <w:tr2bl w:val="nil"/>
                  </w:tcBorders>
                  <w:vAlign w:val="center"/>
                </w:tcPr>
                <w:p w14:paraId="7454DD83">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重型运输车</w:t>
                  </w:r>
                </w:p>
              </w:tc>
              <w:tc>
                <w:tcPr>
                  <w:tcW w:w="879" w:type="dxa"/>
                  <w:tcBorders>
                    <w:tl2br w:val="nil"/>
                    <w:tr2bl w:val="nil"/>
                  </w:tcBorders>
                  <w:vAlign w:val="center"/>
                </w:tcPr>
                <w:p w14:paraId="5C8F67C9">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70</w:t>
                  </w:r>
                </w:p>
              </w:tc>
              <w:tc>
                <w:tcPr>
                  <w:tcW w:w="879" w:type="dxa"/>
                  <w:tcBorders>
                    <w:tl2br w:val="nil"/>
                    <w:tr2bl w:val="nil"/>
                  </w:tcBorders>
                  <w:vAlign w:val="center"/>
                </w:tcPr>
                <w:p w14:paraId="65B01114">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64</w:t>
                  </w:r>
                </w:p>
              </w:tc>
              <w:tc>
                <w:tcPr>
                  <w:tcW w:w="879" w:type="dxa"/>
                  <w:tcBorders>
                    <w:tl2br w:val="nil"/>
                    <w:tr2bl w:val="nil"/>
                  </w:tcBorders>
                  <w:vAlign w:val="center"/>
                </w:tcPr>
                <w:p w14:paraId="77DF562A">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60</w:t>
                  </w:r>
                </w:p>
              </w:tc>
              <w:tc>
                <w:tcPr>
                  <w:tcW w:w="879" w:type="dxa"/>
                  <w:tcBorders>
                    <w:tl2br w:val="nil"/>
                    <w:tr2bl w:val="nil"/>
                  </w:tcBorders>
                  <w:vAlign w:val="center"/>
                </w:tcPr>
                <w:p w14:paraId="35332DAD">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58</w:t>
                  </w:r>
                </w:p>
              </w:tc>
              <w:tc>
                <w:tcPr>
                  <w:tcW w:w="878" w:type="dxa"/>
                  <w:tcBorders>
                    <w:tl2br w:val="nil"/>
                    <w:tr2bl w:val="nil"/>
                  </w:tcBorders>
                  <w:vAlign w:val="center"/>
                </w:tcPr>
                <w:p w14:paraId="25B4ACE4">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56</w:t>
                  </w:r>
                </w:p>
              </w:tc>
              <w:tc>
                <w:tcPr>
                  <w:tcW w:w="879" w:type="dxa"/>
                  <w:tcBorders>
                    <w:tl2br w:val="nil"/>
                    <w:tr2bl w:val="nil"/>
                  </w:tcBorders>
                  <w:vAlign w:val="center"/>
                </w:tcPr>
                <w:p w14:paraId="786E8AB3">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54</w:t>
                  </w:r>
                </w:p>
              </w:tc>
              <w:tc>
                <w:tcPr>
                  <w:tcW w:w="938" w:type="dxa"/>
                  <w:tcBorders>
                    <w:tl2br w:val="nil"/>
                    <w:tr2bl w:val="nil"/>
                  </w:tcBorders>
                  <w:vAlign w:val="center"/>
                </w:tcPr>
                <w:p w14:paraId="7BCDF416">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52</w:t>
                  </w:r>
                </w:p>
              </w:tc>
            </w:tr>
            <w:tr w14:paraId="1879C93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2144" w:type="dxa"/>
                  <w:tcBorders>
                    <w:tl2br w:val="nil"/>
                    <w:tr2bl w:val="nil"/>
                  </w:tcBorders>
                  <w:vAlign w:val="center"/>
                </w:tcPr>
                <w:p w14:paraId="7CEE4CD4">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木工电锯</w:t>
                  </w:r>
                </w:p>
              </w:tc>
              <w:tc>
                <w:tcPr>
                  <w:tcW w:w="879" w:type="dxa"/>
                  <w:tcBorders>
                    <w:tl2br w:val="nil"/>
                    <w:tr2bl w:val="nil"/>
                  </w:tcBorders>
                  <w:vAlign w:val="center"/>
                </w:tcPr>
                <w:p w14:paraId="5E936A60">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79</w:t>
                  </w:r>
                </w:p>
              </w:tc>
              <w:tc>
                <w:tcPr>
                  <w:tcW w:w="879" w:type="dxa"/>
                  <w:tcBorders>
                    <w:tl2br w:val="nil"/>
                    <w:tr2bl w:val="nil"/>
                  </w:tcBorders>
                  <w:vAlign w:val="center"/>
                </w:tcPr>
                <w:p w14:paraId="71829C13">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73</w:t>
                  </w:r>
                </w:p>
              </w:tc>
              <w:tc>
                <w:tcPr>
                  <w:tcW w:w="879" w:type="dxa"/>
                  <w:tcBorders>
                    <w:tl2br w:val="nil"/>
                    <w:tr2bl w:val="nil"/>
                  </w:tcBorders>
                  <w:vAlign w:val="center"/>
                </w:tcPr>
                <w:p w14:paraId="5112CBD4">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69</w:t>
                  </w:r>
                </w:p>
              </w:tc>
              <w:tc>
                <w:tcPr>
                  <w:tcW w:w="879" w:type="dxa"/>
                  <w:tcBorders>
                    <w:tl2br w:val="nil"/>
                    <w:tr2bl w:val="nil"/>
                  </w:tcBorders>
                  <w:vAlign w:val="center"/>
                </w:tcPr>
                <w:p w14:paraId="42A9B9FC">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67</w:t>
                  </w:r>
                </w:p>
              </w:tc>
              <w:tc>
                <w:tcPr>
                  <w:tcW w:w="878" w:type="dxa"/>
                  <w:tcBorders>
                    <w:tl2br w:val="nil"/>
                    <w:tr2bl w:val="nil"/>
                  </w:tcBorders>
                  <w:vAlign w:val="center"/>
                </w:tcPr>
                <w:p w14:paraId="08781053">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65</w:t>
                  </w:r>
                </w:p>
              </w:tc>
              <w:tc>
                <w:tcPr>
                  <w:tcW w:w="879" w:type="dxa"/>
                  <w:tcBorders>
                    <w:tl2br w:val="nil"/>
                    <w:tr2bl w:val="nil"/>
                  </w:tcBorders>
                  <w:vAlign w:val="center"/>
                </w:tcPr>
                <w:p w14:paraId="7EBCB715">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63</w:t>
                  </w:r>
                </w:p>
              </w:tc>
              <w:tc>
                <w:tcPr>
                  <w:tcW w:w="938" w:type="dxa"/>
                  <w:tcBorders>
                    <w:tl2br w:val="nil"/>
                    <w:tr2bl w:val="nil"/>
                  </w:tcBorders>
                  <w:vAlign w:val="center"/>
                </w:tcPr>
                <w:p w14:paraId="5FDC9C70">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61</w:t>
                  </w:r>
                </w:p>
              </w:tc>
            </w:tr>
            <w:tr w14:paraId="2DD35F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2144" w:type="dxa"/>
                  <w:tcBorders>
                    <w:tl2br w:val="nil"/>
                    <w:tr2bl w:val="nil"/>
                  </w:tcBorders>
                  <w:vAlign w:val="center"/>
                </w:tcPr>
                <w:p w14:paraId="05C7CA8F">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云石机、角磨机</w:t>
                  </w:r>
                </w:p>
              </w:tc>
              <w:tc>
                <w:tcPr>
                  <w:tcW w:w="879" w:type="dxa"/>
                  <w:tcBorders>
                    <w:tl2br w:val="nil"/>
                    <w:tr2bl w:val="nil"/>
                  </w:tcBorders>
                  <w:vAlign w:val="center"/>
                </w:tcPr>
                <w:p w14:paraId="334DF135">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76</w:t>
                  </w:r>
                </w:p>
              </w:tc>
              <w:tc>
                <w:tcPr>
                  <w:tcW w:w="879" w:type="dxa"/>
                  <w:tcBorders>
                    <w:tl2br w:val="nil"/>
                    <w:tr2bl w:val="nil"/>
                  </w:tcBorders>
                  <w:vAlign w:val="center"/>
                </w:tcPr>
                <w:p w14:paraId="15A78DFB">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70</w:t>
                  </w:r>
                </w:p>
              </w:tc>
              <w:tc>
                <w:tcPr>
                  <w:tcW w:w="879" w:type="dxa"/>
                  <w:tcBorders>
                    <w:tl2br w:val="nil"/>
                    <w:tr2bl w:val="nil"/>
                  </w:tcBorders>
                  <w:vAlign w:val="center"/>
                </w:tcPr>
                <w:p w14:paraId="34AB328E">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66</w:t>
                  </w:r>
                </w:p>
              </w:tc>
              <w:tc>
                <w:tcPr>
                  <w:tcW w:w="879" w:type="dxa"/>
                  <w:tcBorders>
                    <w:tl2br w:val="nil"/>
                    <w:tr2bl w:val="nil"/>
                  </w:tcBorders>
                  <w:vAlign w:val="center"/>
                </w:tcPr>
                <w:p w14:paraId="4B9CD631">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64</w:t>
                  </w:r>
                </w:p>
              </w:tc>
              <w:tc>
                <w:tcPr>
                  <w:tcW w:w="878" w:type="dxa"/>
                  <w:tcBorders>
                    <w:tl2br w:val="nil"/>
                    <w:tr2bl w:val="nil"/>
                  </w:tcBorders>
                  <w:vAlign w:val="center"/>
                </w:tcPr>
                <w:p w14:paraId="3D6F633E">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62</w:t>
                  </w:r>
                </w:p>
              </w:tc>
              <w:tc>
                <w:tcPr>
                  <w:tcW w:w="879" w:type="dxa"/>
                  <w:tcBorders>
                    <w:tl2br w:val="nil"/>
                    <w:tr2bl w:val="nil"/>
                  </w:tcBorders>
                  <w:vAlign w:val="center"/>
                </w:tcPr>
                <w:p w14:paraId="46307922">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60</w:t>
                  </w:r>
                </w:p>
              </w:tc>
              <w:tc>
                <w:tcPr>
                  <w:tcW w:w="938" w:type="dxa"/>
                  <w:tcBorders>
                    <w:tl2br w:val="nil"/>
                    <w:tr2bl w:val="nil"/>
                  </w:tcBorders>
                  <w:vAlign w:val="center"/>
                </w:tcPr>
                <w:p w14:paraId="77A3520E">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58</w:t>
                  </w:r>
                </w:p>
              </w:tc>
            </w:tr>
            <w:tr w14:paraId="0120CE2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2144" w:type="dxa"/>
                  <w:tcBorders>
                    <w:tl2br w:val="nil"/>
                    <w:tr2bl w:val="nil"/>
                  </w:tcBorders>
                  <w:vAlign w:val="center"/>
                </w:tcPr>
                <w:p w14:paraId="655B05BE">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空压机</w:t>
                  </w:r>
                </w:p>
              </w:tc>
              <w:tc>
                <w:tcPr>
                  <w:tcW w:w="879" w:type="dxa"/>
                  <w:tcBorders>
                    <w:tl2br w:val="nil"/>
                    <w:tr2bl w:val="nil"/>
                  </w:tcBorders>
                  <w:vAlign w:val="center"/>
                </w:tcPr>
                <w:p w14:paraId="328FBD2F">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72</w:t>
                  </w:r>
                </w:p>
              </w:tc>
              <w:tc>
                <w:tcPr>
                  <w:tcW w:w="879" w:type="dxa"/>
                  <w:tcBorders>
                    <w:tl2br w:val="nil"/>
                    <w:tr2bl w:val="nil"/>
                  </w:tcBorders>
                  <w:vAlign w:val="center"/>
                </w:tcPr>
                <w:p w14:paraId="57F5BA95">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66</w:t>
                  </w:r>
                </w:p>
              </w:tc>
              <w:tc>
                <w:tcPr>
                  <w:tcW w:w="879" w:type="dxa"/>
                  <w:tcBorders>
                    <w:tl2br w:val="nil"/>
                    <w:tr2bl w:val="nil"/>
                  </w:tcBorders>
                  <w:vAlign w:val="center"/>
                </w:tcPr>
                <w:p w14:paraId="308F2BC9">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62</w:t>
                  </w:r>
                </w:p>
              </w:tc>
              <w:tc>
                <w:tcPr>
                  <w:tcW w:w="879" w:type="dxa"/>
                  <w:tcBorders>
                    <w:tl2br w:val="nil"/>
                    <w:tr2bl w:val="nil"/>
                  </w:tcBorders>
                  <w:vAlign w:val="center"/>
                </w:tcPr>
                <w:p w14:paraId="4AD8A541">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60</w:t>
                  </w:r>
                </w:p>
              </w:tc>
              <w:tc>
                <w:tcPr>
                  <w:tcW w:w="878" w:type="dxa"/>
                  <w:tcBorders>
                    <w:tl2br w:val="nil"/>
                    <w:tr2bl w:val="nil"/>
                  </w:tcBorders>
                  <w:vAlign w:val="center"/>
                </w:tcPr>
                <w:p w14:paraId="72C93CBB">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58</w:t>
                  </w:r>
                </w:p>
              </w:tc>
              <w:tc>
                <w:tcPr>
                  <w:tcW w:w="879" w:type="dxa"/>
                  <w:tcBorders>
                    <w:tl2br w:val="nil"/>
                    <w:tr2bl w:val="nil"/>
                  </w:tcBorders>
                  <w:vAlign w:val="center"/>
                </w:tcPr>
                <w:p w14:paraId="5FB6F333">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56</w:t>
                  </w:r>
                </w:p>
              </w:tc>
              <w:tc>
                <w:tcPr>
                  <w:tcW w:w="938" w:type="dxa"/>
                  <w:tcBorders>
                    <w:tl2br w:val="nil"/>
                    <w:tr2bl w:val="nil"/>
                  </w:tcBorders>
                  <w:vAlign w:val="center"/>
                </w:tcPr>
                <w:p w14:paraId="4485C7E8">
                  <w:pPr>
                    <w:adjustRightInd w:val="0"/>
                    <w:snapToGrid w:val="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54</w:t>
                  </w:r>
                </w:p>
              </w:tc>
            </w:tr>
          </w:tbl>
          <w:p w14:paraId="3F46AB2E">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（2）治理措施</w:t>
            </w:r>
          </w:p>
          <w:p w14:paraId="5AC5E620">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项目昼间施工时</w:t>
            </w:r>
            <w:r>
              <w:rPr>
                <w:rFonts w:hint="eastAsia" w:ascii="Times New Roman" w:hAnsi="Times New Roman" w:eastAsia="宋体" w:cs="Times New Roman"/>
                <w:bCs/>
                <w:color w:val="auto"/>
                <w:sz w:val="24"/>
                <w:lang w:val="en-US" w:eastAsia="zh-CN"/>
              </w:rPr>
              <w:t>在100m处可</w:t>
            </w:r>
            <w:r>
              <w:rPr>
                <w:rFonts w:ascii="Times New Roman" w:hAnsi="Times New Roman" w:eastAsia="宋体" w:cs="Times New Roman"/>
                <w:bCs/>
                <w:color w:val="auto"/>
                <w:sz w:val="24"/>
                <w:lang w:eastAsia="zh-CN"/>
              </w:rPr>
              <w:t>满足《建筑施工场界环境噪声排放标准》（GB12523-2011）相关排放标准，</w:t>
            </w:r>
            <w:r>
              <w:rPr>
                <w:rFonts w:hint="eastAsia" w:ascii="Times New Roman" w:hAnsi="Times New Roman" w:eastAsia="宋体" w:cs="Times New Roman"/>
                <w:bCs/>
                <w:color w:val="auto"/>
                <w:sz w:val="24"/>
                <w:lang w:val="en-US" w:eastAsia="zh-CN"/>
              </w:rPr>
              <w:t>在此基础上</w:t>
            </w:r>
            <w:r>
              <w:rPr>
                <w:rFonts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lang w:val="en-US" w:eastAsia="zh-CN"/>
              </w:rPr>
              <w:t>为减少在本项目西侧132m闫李庄村的影响</w:t>
            </w:r>
            <w:r>
              <w:rPr>
                <w:rFonts w:ascii="Times New Roman" w:hAnsi="Times New Roman" w:eastAsia="宋体" w:cs="Times New Roman"/>
                <w:bCs/>
                <w:color w:val="auto"/>
                <w:sz w:val="24"/>
                <w:lang w:eastAsia="zh-CN"/>
              </w:rPr>
              <w:t>，施工单位在施工作业中应选采取如下控制措施：</w:t>
            </w:r>
          </w:p>
          <w:p w14:paraId="58F58997">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①合理编制施工组织设计</w:t>
            </w:r>
          </w:p>
          <w:p w14:paraId="1B8B968D">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施工单位在进场前应编制施工组织设计，对采用的设备型号规格、噪声级以及操作规程予以明确，对采取的噪声防治措施和设施要有明确规定，并报主管部门审查备案。</w:t>
            </w:r>
          </w:p>
          <w:p w14:paraId="2DC87492">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②合理安排施工时间</w:t>
            </w:r>
          </w:p>
          <w:p w14:paraId="2BA43DAF">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合理安排施工时间，尽量避免大量高噪声设备同时施工，避免局部噪声级过高。将噪声大的作业安排在白天进行，夜间禁止使用高噪声机械设备。在中午（12∶00-14∶00时）晚上（10：00-次日早上6：00）期间应停止施工，如因技术原因必须在夜间连续施工的，应在开工前报</w:t>
            </w:r>
            <w:r>
              <w:rPr>
                <w:rFonts w:hint="eastAsia" w:ascii="Times New Roman" w:hAnsi="Times New Roman" w:eastAsia="宋体" w:cs="Times New Roman"/>
                <w:bCs/>
                <w:color w:val="auto"/>
                <w:sz w:val="24"/>
                <w:lang w:eastAsia="zh-CN"/>
              </w:rPr>
              <w:t>长治市生态环境局</w:t>
            </w:r>
            <w:r>
              <w:rPr>
                <w:rFonts w:hint="eastAsia" w:ascii="Times New Roman" w:hAnsi="Times New Roman" w:eastAsia="宋体" w:cs="Times New Roman"/>
                <w:bCs/>
                <w:color w:val="auto"/>
                <w:sz w:val="24"/>
                <w:lang w:val="en-US" w:eastAsia="zh-CN"/>
              </w:rPr>
              <w:t>潞城</w:t>
            </w:r>
            <w:r>
              <w:rPr>
                <w:rFonts w:hint="eastAsia" w:ascii="Times New Roman" w:hAnsi="Times New Roman" w:eastAsia="宋体" w:cs="Times New Roman"/>
                <w:bCs/>
                <w:color w:val="auto"/>
                <w:sz w:val="24"/>
                <w:lang w:eastAsia="zh-CN"/>
              </w:rPr>
              <w:t>分局</w:t>
            </w:r>
            <w:r>
              <w:rPr>
                <w:rFonts w:ascii="Times New Roman" w:hAnsi="Times New Roman" w:eastAsia="宋体" w:cs="Times New Roman"/>
                <w:bCs/>
                <w:color w:val="auto"/>
                <w:sz w:val="24"/>
                <w:lang w:eastAsia="zh-CN"/>
              </w:rPr>
              <w:t>批准，并采取临时噪声减缓措施。</w:t>
            </w:r>
          </w:p>
          <w:p w14:paraId="2242DCCA">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③降低设备声级</w:t>
            </w:r>
          </w:p>
          <w:p w14:paraId="17DB6823">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1）施工设备尽量选用先进低噪声设备，定期保养、维护，保持机械润滑，避免由于设备性能差而增大机械噪声，减少对声环境的影响程度。建筑材料运输车辆控制车速，禁止鸣笛。</w:t>
            </w:r>
          </w:p>
          <w:p w14:paraId="3B951636">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2）振动大的机械设备使用减振机座，闲置不用的设备应立即关闭。</w:t>
            </w:r>
          </w:p>
          <w:p w14:paraId="05D3DB81">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3）机械设备采取加弹性垫、包覆和隔声罩等降噪减振措施。</w:t>
            </w:r>
          </w:p>
          <w:p w14:paraId="19DCF794">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④降低人为噪声</w:t>
            </w:r>
          </w:p>
          <w:p w14:paraId="196346EB">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1）按照操作规程操作机械设备，在挡板、支架拆卸过程中，应遵守作业规定，禁止高空抛物，减少碰撞噪声。</w:t>
            </w:r>
          </w:p>
          <w:p w14:paraId="150912E8">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2）尽量少用哨子、笛等指挥作业，采用现代化通讯工具。</w:t>
            </w:r>
          </w:p>
          <w:p w14:paraId="05F04FAD">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⑤其它噪声防治措施</w:t>
            </w:r>
          </w:p>
          <w:p w14:paraId="2977FBE1">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应按照文明施工要求在施工场地的边界设置轻质施工围护结构，除能减少扬尘、避免景观影响外，还能有效减缓噪声扩散。</w:t>
            </w:r>
          </w:p>
          <w:p w14:paraId="3DFD25CE">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综上，施工期噪声经采取以上污染防治措施及距离衰减后，施工期场界噪声排放能够达到《建筑施工场界环境噪声排放标准》（GB12523-2011）限值，即：昼间≤70dB（A）；夜间≤55dB（A），对周围声环境影响较小，施工期周围敏感点的影响较小，通过合理安排施工时间，合理布置施工场地，施工期噪声对周围环境影响较小。</w:t>
            </w:r>
          </w:p>
          <w:p w14:paraId="0A96C003">
            <w:pPr>
              <w:spacing w:line="360" w:lineRule="auto"/>
              <w:ind w:firstLine="482" w:firstLineChars="200"/>
              <w:jc w:val="both"/>
              <w:rPr>
                <w:rFonts w:ascii="Times New Roman" w:hAnsi="Times New Roman" w:eastAsia="宋体" w:cs="Times New Roman"/>
                <w:b/>
                <w:color w:val="auto"/>
                <w:sz w:val="24"/>
                <w:lang w:eastAsia="zh-CN"/>
              </w:rPr>
            </w:pPr>
            <w:r>
              <w:rPr>
                <w:rFonts w:hint="eastAsia" w:ascii="Times New Roman" w:hAnsi="Times New Roman" w:eastAsia="宋体" w:cs="Times New Roman"/>
                <w:b/>
                <w:color w:val="auto"/>
                <w:sz w:val="24"/>
                <w:lang w:val="en-US" w:eastAsia="zh-CN"/>
              </w:rPr>
              <w:t xml:space="preserve">4.2 </w:t>
            </w:r>
            <w:r>
              <w:rPr>
                <w:rFonts w:ascii="Times New Roman" w:hAnsi="Times New Roman" w:eastAsia="宋体" w:cs="Times New Roman"/>
                <w:b/>
                <w:color w:val="auto"/>
                <w:sz w:val="24"/>
                <w:lang w:eastAsia="zh-CN"/>
              </w:rPr>
              <w:t>固体废物</w:t>
            </w:r>
          </w:p>
          <w:p w14:paraId="0BEDF5DF">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（1）影响分析</w:t>
            </w:r>
          </w:p>
          <w:p w14:paraId="0DE988CD">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施工期间需要运输各种</w:t>
            </w:r>
            <w:r>
              <w:rPr>
                <w:rFonts w:hint="eastAsia" w:ascii="Times New Roman" w:hAnsi="Times New Roman" w:eastAsia="宋体" w:cs="Times New Roman"/>
                <w:bCs/>
                <w:color w:val="auto"/>
                <w:sz w:val="24"/>
                <w:lang w:val="en-US" w:eastAsia="zh-CN"/>
              </w:rPr>
              <w:t>生产设备</w:t>
            </w:r>
            <w:r>
              <w:rPr>
                <w:rFonts w:ascii="Times New Roman" w:hAnsi="Times New Roman" w:eastAsia="宋体" w:cs="Times New Roman"/>
                <w:bCs/>
                <w:color w:val="auto"/>
                <w:sz w:val="24"/>
                <w:lang w:eastAsia="zh-CN"/>
              </w:rPr>
              <w:t>。工程完工后</w:t>
            </w:r>
            <w:r>
              <w:rPr>
                <w:rFonts w:hint="eastAsia" w:ascii="Times New Roman" w:hAnsi="Times New Roman" w:eastAsia="宋体" w:cs="Times New Roman"/>
                <w:bCs/>
                <w:color w:val="auto"/>
                <w:sz w:val="24"/>
                <w:lang w:val="en-US" w:eastAsia="zh-CN"/>
              </w:rPr>
              <w:t>不涉及</w:t>
            </w:r>
            <w:r>
              <w:rPr>
                <w:rFonts w:hint="eastAsia" w:ascii="Times New Roman" w:hAnsi="Times New Roman" w:eastAsia="宋体" w:cs="Times New Roman"/>
                <w:bCs/>
                <w:color w:val="auto"/>
                <w:sz w:val="24"/>
                <w:lang w:eastAsia="zh-CN"/>
              </w:rPr>
              <w:t>土石方回填</w:t>
            </w:r>
            <w:r>
              <w:rPr>
                <w:rFonts w:hint="eastAsia" w:ascii="Times New Roman" w:hAnsi="Times New Roman" w:eastAsia="宋体" w:cs="Times New Roman"/>
                <w:bCs/>
                <w:color w:val="auto"/>
                <w:sz w:val="24"/>
                <w:lang w:val="en-US" w:eastAsia="zh-CN"/>
              </w:rPr>
              <w:t>等内容，</w:t>
            </w:r>
            <w:r>
              <w:rPr>
                <w:rFonts w:hint="eastAsia" w:ascii="Times New Roman" w:hAnsi="Times New Roman" w:eastAsia="宋体" w:cs="Times New Roman"/>
                <w:bCs/>
                <w:color w:val="auto"/>
                <w:sz w:val="24"/>
                <w:lang w:eastAsia="zh-CN"/>
              </w:rPr>
              <w:t>但</w:t>
            </w:r>
            <w:r>
              <w:rPr>
                <w:rFonts w:ascii="Times New Roman" w:hAnsi="Times New Roman" w:eastAsia="宋体" w:cs="Times New Roman"/>
                <w:bCs/>
                <w:color w:val="auto"/>
                <w:sz w:val="24"/>
                <w:lang w:eastAsia="zh-CN"/>
              </w:rPr>
              <w:t>会有</w:t>
            </w:r>
            <w:r>
              <w:rPr>
                <w:rFonts w:hint="eastAsia" w:ascii="Times New Roman" w:hAnsi="Times New Roman" w:eastAsia="宋体" w:cs="Times New Roman"/>
                <w:bCs/>
                <w:color w:val="auto"/>
                <w:sz w:val="24"/>
                <w:lang w:val="en-US" w:eastAsia="zh-CN"/>
              </w:rPr>
              <w:t>设备包装废弃物</w:t>
            </w:r>
            <w:r>
              <w:rPr>
                <w:rFonts w:ascii="Times New Roman" w:hAnsi="Times New Roman" w:eastAsia="宋体" w:cs="Times New Roman"/>
                <w:bCs/>
                <w:color w:val="auto"/>
                <w:sz w:val="24"/>
                <w:lang w:eastAsia="zh-CN"/>
              </w:rPr>
              <w:t>。</w:t>
            </w:r>
          </w:p>
          <w:p w14:paraId="33D55583">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（2）防治措施</w:t>
            </w:r>
          </w:p>
          <w:p w14:paraId="180788F9">
            <w:pPr>
              <w:spacing w:line="360" w:lineRule="auto"/>
              <w:ind w:firstLine="480" w:firstLineChars="200"/>
              <w:jc w:val="both"/>
              <w:rPr>
                <w:rFonts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val="en-US" w:eastAsia="zh-CN"/>
              </w:rPr>
              <w:t>包装废弃物</w:t>
            </w:r>
            <w:r>
              <w:rPr>
                <w:rFonts w:ascii="Times New Roman" w:hAnsi="Times New Roman" w:eastAsia="宋体" w:cs="Times New Roman"/>
                <w:bCs/>
                <w:color w:val="auto"/>
                <w:sz w:val="24"/>
                <w:lang w:eastAsia="zh-CN"/>
              </w:rPr>
              <w:t>：集中收集后</w:t>
            </w:r>
            <w:r>
              <w:rPr>
                <w:rFonts w:hint="eastAsia" w:ascii="Times New Roman" w:hAnsi="Times New Roman" w:eastAsia="宋体" w:cs="Times New Roman"/>
                <w:bCs/>
                <w:color w:val="auto"/>
                <w:sz w:val="24"/>
                <w:lang w:val="en-US" w:eastAsia="zh-CN"/>
              </w:rPr>
              <w:t>外售废品回收站</w:t>
            </w:r>
            <w:r>
              <w:rPr>
                <w:rFonts w:ascii="Times New Roman" w:hAnsi="Times New Roman" w:eastAsia="宋体" w:cs="Times New Roman"/>
                <w:bCs/>
                <w:color w:val="auto"/>
                <w:sz w:val="24"/>
                <w:lang w:eastAsia="zh-CN"/>
              </w:rPr>
              <w:t>处理。</w:t>
            </w:r>
          </w:p>
          <w:p w14:paraId="0CE12519">
            <w:pPr>
              <w:spacing w:line="360" w:lineRule="auto"/>
              <w:ind w:firstLine="480" w:firstLineChars="200"/>
              <w:jc w:val="both"/>
              <w:rPr>
                <w:rFonts w:ascii="Times New Roman" w:hAnsi="Times New Roman" w:eastAsia="宋体" w:cs="Times New Roman"/>
                <w:bCs/>
                <w:color w:val="auto"/>
                <w:sz w:val="24"/>
                <w:lang w:eastAsia="zh-CN"/>
              </w:rPr>
            </w:pPr>
            <w:r>
              <w:rPr>
                <w:rFonts w:ascii="Times New Roman" w:hAnsi="Times New Roman" w:eastAsia="宋体" w:cs="Times New Roman"/>
                <w:bCs/>
                <w:color w:val="auto"/>
                <w:sz w:val="24"/>
                <w:lang w:eastAsia="zh-CN"/>
              </w:rPr>
              <w:t>采取上述措施后，施工期间产生的固体废物得到妥善安置及清理，不会对区域环境产生影响。</w:t>
            </w:r>
          </w:p>
          <w:p w14:paraId="4BD8998E">
            <w:pPr>
              <w:pStyle w:val="8"/>
              <w:spacing w:line="360" w:lineRule="auto"/>
              <w:ind w:firstLine="482" w:firstLineChars="200"/>
              <w:rPr>
                <w:rFonts w:ascii="Times New Roman" w:hAnsi="Times New Roman" w:eastAsia="宋体" w:cs="Times New Roman"/>
                <w:color w:val="auto"/>
                <w:sz w:val="24"/>
                <w:szCs w:val="24"/>
                <w:lang w:eastAsia="zh-CN"/>
              </w:rPr>
            </w:pPr>
            <w:r>
              <w:rPr>
                <w:rFonts w:hint="eastAsia" w:ascii="Times New Roman" w:hAnsi="Times New Roman" w:eastAsia="宋体" w:cs="Times New Roman"/>
                <w:b/>
                <w:color w:val="auto"/>
                <w:sz w:val="24"/>
                <w:lang w:val="en-US" w:eastAsia="zh-CN"/>
              </w:rPr>
              <w:t>4.3</w:t>
            </w:r>
            <w:r>
              <w:rPr>
                <w:rFonts w:ascii="Times New Roman" w:hAnsi="Times New Roman" w:eastAsia="宋体" w:cs="Times New Roman"/>
                <w:b/>
                <w:color w:val="auto"/>
                <w:sz w:val="24"/>
                <w:szCs w:val="24"/>
                <w:lang w:eastAsia="zh-CN"/>
              </w:rPr>
              <w:t>施工期环境管理、监理</w:t>
            </w:r>
          </w:p>
          <w:p w14:paraId="5D278ACA">
            <w:pPr>
              <w:spacing w:line="360" w:lineRule="auto"/>
              <w:ind w:firstLine="480" w:firstLineChars="200"/>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（1）建设期应高度重视对生态环境影响，项目建设施工用地严格限定在项目占地范围内，严禁超范围用地。</w:t>
            </w:r>
          </w:p>
          <w:p w14:paraId="6750446E">
            <w:pPr>
              <w:spacing w:line="360" w:lineRule="auto"/>
              <w:ind w:firstLine="480" w:firstLineChars="200"/>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（2）项目建设必须严格执行“三同时”制度与竣工验收制度。</w:t>
            </w:r>
          </w:p>
          <w:p w14:paraId="2F50A393">
            <w:pPr>
              <w:spacing w:line="360" w:lineRule="auto"/>
              <w:ind w:firstLine="480" w:firstLineChars="200"/>
              <w:rPr>
                <w:rFonts w:ascii="Times New Roman" w:hAnsi="Times New Roman" w:cs="Times New Roman"/>
                <w:bCs/>
                <w:color w:val="auto"/>
                <w:lang w:eastAsia="zh-CN"/>
              </w:rPr>
            </w:pPr>
            <w:r>
              <w:rPr>
                <w:rFonts w:ascii="Times New Roman" w:hAnsi="Times New Roman" w:eastAsia="宋体" w:cs="Times New Roman"/>
                <w:color w:val="auto"/>
                <w:sz w:val="24"/>
                <w:szCs w:val="24"/>
                <w:lang w:eastAsia="zh-CN"/>
              </w:rPr>
              <w:t>环境监理应贯穿于建设项目从开始施工到运行的整个过程，并对建设项目的不同阶段制定相应的环保条例。环境监理工作计划见下表。</w:t>
            </w:r>
          </w:p>
          <w:p w14:paraId="5FA8AC54">
            <w:pPr>
              <w:overflowPunct w:val="0"/>
              <w:autoSpaceDE w:val="0"/>
              <w:autoSpaceDN w:val="0"/>
              <w:jc w:val="center"/>
              <w:rPr>
                <w:rFonts w:ascii="Times New Roman" w:hAnsi="Times New Roman" w:cs="Times New Roman"/>
                <w:bCs/>
                <w:color w:val="auto"/>
                <w:sz w:val="21"/>
                <w:lang w:eastAsia="zh-CN"/>
              </w:rPr>
            </w:pPr>
            <w:r>
              <w:rPr>
                <w:rFonts w:ascii="Times New Roman" w:hAnsi="Times New Roman" w:cs="Times New Roman"/>
                <w:b/>
                <w:color w:val="auto"/>
                <w:sz w:val="21"/>
                <w:lang w:eastAsia="zh-CN"/>
              </w:rPr>
              <w:t>表4</w:t>
            </w:r>
            <w:r>
              <w:rPr>
                <w:rFonts w:hint="eastAsia" w:ascii="Times New Roman" w:hAnsi="Times New Roman" w:cs="Times New Roman"/>
                <w:b/>
                <w:color w:val="auto"/>
                <w:sz w:val="21"/>
                <w:lang w:val="en-US" w:eastAsia="zh-CN"/>
              </w:rPr>
              <w:t>.3</w:t>
            </w:r>
            <w:r>
              <w:rPr>
                <w:rFonts w:ascii="Times New Roman" w:hAnsi="Times New Roman" w:cs="Times New Roman"/>
                <w:b/>
                <w:color w:val="auto"/>
                <w:sz w:val="21"/>
                <w:lang w:eastAsia="zh-CN"/>
              </w:rPr>
              <w:t>-</w:t>
            </w:r>
            <w:r>
              <w:rPr>
                <w:rFonts w:hint="eastAsia" w:ascii="Times New Roman" w:hAnsi="Times New Roman" w:cs="Times New Roman"/>
                <w:b/>
                <w:color w:val="auto"/>
                <w:sz w:val="21"/>
                <w:lang w:val="en-US" w:eastAsia="zh-CN"/>
              </w:rPr>
              <w:t>1</w:t>
            </w:r>
            <w:r>
              <w:rPr>
                <w:rFonts w:ascii="Times New Roman" w:hAnsi="Times New Roman" w:cs="Times New Roman"/>
                <w:b/>
                <w:color w:val="auto"/>
                <w:sz w:val="21"/>
                <w:lang w:eastAsia="zh-CN"/>
              </w:rPr>
              <w:t xml:space="preserve">  环境管理及监理计划表</w:t>
            </w:r>
          </w:p>
          <w:tbl>
            <w:tblPr>
              <w:tblStyle w:val="32"/>
              <w:tblW w:w="8164"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145"/>
              <w:gridCol w:w="7019"/>
            </w:tblGrid>
            <w:tr w14:paraId="598D8F9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jc w:val="center"/>
              </w:trPr>
              <w:tc>
                <w:tcPr>
                  <w:tcW w:w="1293" w:type="dxa"/>
                  <w:tcBorders>
                    <w:tl2br w:val="nil"/>
                    <w:tr2bl w:val="nil"/>
                  </w:tcBorders>
                  <w:vAlign w:val="center"/>
                </w:tcPr>
                <w:p w14:paraId="38BE8A35">
                  <w:pPr>
                    <w:overflowPunct w:val="0"/>
                    <w:autoSpaceDE w:val="0"/>
                    <w:autoSpaceDN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阶段</w:t>
                  </w:r>
                </w:p>
              </w:tc>
              <w:tc>
                <w:tcPr>
                  <w:tcW w:w="8119" w:type="dxa"/>
                  <w:tcBorders>
                    <w:tl2br w:val="nil"/>
                    <w:tr2bl w:val="nil"/>
                  </w:tcBorders>
                  <w:vAlign w:val="center"/>
                </w:tcPr>
                <w:p w14:paraId="57D82C18">
                  <w:pPr>
                    <w:overflowPunct w:val="0"/>
                    <w:autoSpaceDE w:val="0"/>
                    <w:autoSpaceDN w:val="0"/>
                    <w:snapToGrid w:val="0"/>
                    <w:jc w:val="center"/>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环境管理工作主要内容</w:t>
                  </w:r>
                </w:p>
              </w:tc>
            </w:tr>
            <w:tr w14:paraId="04B630E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93" w:type="dxa"/>
                  <w:tcBorders>
                    <w:tl2br w:val="nil"/>
                    <w:tr2bl w:val="nil"/>
                  </w:tcBorders>
                  <w:vAlign w:val="center"/>
                </w:tcPr>
                <w:p w14:paraId="5B3523C0">
                  <w:pPr>
                    <w:overflowPunct w:val="0"/>
                    <w:autoSpaceDE w:val="0"/>
                    <w:autoSpaceDN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环境管理机构的职能</w:t>
                  </w:r>
                </w:p>
              </w:tc>
              <w:tc>
                <w:tcPr>
                  <w:tcW w:w="8119" w:type="dxa"/>
                  <w:tcBorders>
                    <w:tl2br w:val="nil"/>
                    <w:tr2bl w:val="nil"/>
                  </w:tcBorders>
                  <w:vAlign w:val="center"/>
                </w:tcPr>
                <w:p w14:paraId="29846733">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根据国家建设项目环境管理规定，认真落实各项环保手续，完成各级环保主管部门对项目提出的环境要求，对厂区内部各项管理计划的执行及完成情况进行监督、控制，确保环境管理工作真正发挥作用。</w:t>
                  </w:r>
                </w:p>
              </w:tc>
            </w:tr>
            <w:tr w14:paraId="5ECBBB8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93" w:type="dxa"/>
                  <w:tcBorders>
                    <w:tl2br w:val="nil"/>
                    <w:tr2bl w:val="nil"/>
                  </w:tcBorders>
                  <w:vAlign w:val="center"/>
                </w:tcPr>
                <w:p w14:paraId="6074E2C9">
                  <w:pPr>
                    <w:overflowPunct w:val="0"/>
                    <w:autoSpaceDE w:val="0"/>
                    <w:autoSpaceDN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项目建</w:t>
                  </w:r>
                </w:p>
                <w:p w14:paraId="3B493426">
                  <w:pPr>
                    <w:overflowPunct w:val="0"/>
                    <w:autoSpaceDE w:val="0"/>
                    <w:autoSpaceDN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设前期</w:t>
                  </w:r>
                </w:p>
              </w:tc>
              <w:tc>
                <w:tcPr>
                  <w:tcW w:w="8119" w:type="dxa"/>
                  <w:tcBorders>
                    <w:tl2br w:val="nil"/>
                    <w:tr2bl w:val="nil"/>
                  </w:tcBorders>
                  <w:vAlign w:val="center"/>
                </w:tcPr>
                <w:p w14:paraId="64986E5F">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1、与项目可行性研究同期，委托进行项目的环境影响评价工作；</w:t>
                  </w:r>
                </w:p>
                <w:p w14:paraId="2B7CA2B4">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2、积极配合可研和环评工作所需进行现场调研；</w:t>
                  </w:r>
                </w:p>
                <w:p w14:paraId="4F99159B">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3、与设计单位联系，确定对工程尤其是环保设施实施的具体计划。</w:t>
                  </w:r>
                </w:p>
              </w:tc>
            </w:tr>
            <w:tr w14:paraId="14F6CCC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93" w:type="dxa"/>
                  <w:tcBorders>
                    <w:tl2br w:val="nil"/>
                    <w:tr2bl w:val="nil"/>
                  </w:tcBorders>
                  <w:vAlign w:val="center"/>
                </w:tcPr>
                <w:p w14:paraId="3175FFB8">
                  <w:pPr>
                    <w:overflowPunct w:val="0"/>
                    <w:autoSpaceDE w:val="0"/>
                    <w:autoSpaceDN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施工期</w:t>
                  </w:r>
                </w:p>
              </w:tc>
              <w:tc>
                <w:tcPr>
                  <w:tcW w:w="8119" w:type="dxa"/>
                  <w:tcBorders>
                    <w:tl2br w:val="nil"/>
                    <w:tr2bl w:val="nil"/>
                  </w:tcBorders>
                  <w:vAlign w:val="center"/>
                </w:tcPr>
                <w:p w14:paraId="6FDF7E78">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1、严格执行“三同时”制度；委托进行施工期环境监理工作；</w:t>
                  </w:r>
                </w:p>
                <w:p w14:paraId="31F17C74">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2、按照环评报告中提出的要求，制定出施工期间各项污染的防治计划，列出污染防治措施实施计划表，并与当地环保部门签订落实计划的目标责任书；</w:t>
                  </w:r>
                </w:p>
                <w:p w14:paraId="7C31D628">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3、切实保证环保治理设施与主体工程同步进行，建立环保设施施工进度档案，确保环保工程的正常投产运行；</w:t>
                  </w:r>
                </w:p>
                <w:p w14:paraId="59CDB7C7">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4、会同施工单位做好工程设施的施工建设、施工档案文件的整理归档等工作，并将环保工程的施工进度情况上报环保部门；</w:t>
                  </w:r>
                </w:p>
                <w:p w14:paraId="6B7B6F93">
                  <w:pPr>
                    <w:overflowPunct w:val="0"/>
                    <w:autoSpaceDE w:val="0"/>
                    <w:autoSpaceDN w:val="0"/>
                    <w:snapToGrid w:val="0"/>
                    <w:rPr>
                      <w:rFonts w:ascii="Times New Roman" w:hAnsi="Times New Roman" w:cs="Times New Roman"/>
                      <w:bCs/>
                      <w:color w:val="auto"/>
                      <w:sz w:val="21"/>
                      <w:szCs w:val="21"/>
                      <w:lang w:eastAsia="zh-CN"/>
                    </w:rPr>
                  </w:pPr>
                  <w:r>
                    <w:rPr>
                      <w:rFonts w:ascii="Times New Roman" w:hAnsi="Times New Roman" w:cs="Times New Roman"/>
                      <w:bCs/>
                      <w:color w:val="auto"/>
                      <w:sz w:val="21"/>
                      <w:szCs w:val="21"/>
                      <w:lang w:eastAsia="zh-CN"/>
                    </w:rPr>
                    <w:t>5、建设项目竣工后，应督促施工单位及时修整和恢复建设过程中受到破坏的环境。</w:t>
                  </w:r>
                </w:p>
              </w:tc>
            </w:tr>
          </w:tbl>
          <w:p w14:paraId="7E11848F">
            <w:pPr>
              <w:spacing w:line="360" w:lineRule="auto"/>
              <w:ind w:firstLine="440" w:firstLineChars="200"/>
              <w:rPr>
                <w:rFonts w:ascii="Times New Roman" w:hAnsi="Times New Roman" w:cs="Times New Roman"/>
                <w:bCs/>
                <w:color w:val="auto"/>
                <w:lang w:eastAsia="zh-CN"/>
              </w:rPr>
            </w:pPr>
          </w:p>
          <w:p w14:paraId="4EBF06DB">
            <w:pPr>
              <w:overflowPunct w:val="0"/>
              <w:autoSpaceDE w:val="0"/>
              <w:autoSpaceDN w:val="0"/>
              <w:jc w:val="center"/>
              <w:rPr>
                <w:rFonts w:ascii="Times New Roman" w:hAnsi="Times New Roman" w:cs="Times New Roman"/>
                <w:b/>
                <w:color w:val="auto"/>
                <w:sz w:val="21"/>
                <w:lang w:eastAsia="zh-CN"/>
              </w:rPr>
            </w:pPr>
          </w:p>
          <w:p w14:paraId="20D72DB2">
            <w:pPr>
              <w:overflowPunct w:val="0"/>
              <w:autoSpaceDE w:val="0"/>
              <w:autoSpaceDN w:val="0"/>
              <w:jc w:val="center"/>
              <w:rPr>
                <w:rFonts w:ascii="Times New Roman" w:hAnsi="Times New Roman" w:cs="Times New Roman"/>
                <w:b/>
                <w:color w:val="auto"/>
                <w:sz w:val="21"/>
                <w:lang w:eastAsia="zh-CN"/>
              </w:rPr>
            </w:pPr>
          </w:p>
          <w:p w14:paraId="6D648712">
            <w:pPr>
              <w:overflowPunct w:val="0"/>
              <w:autoSpaceDE w:val="0"/>
              <w:autoSpaceDN w:val="0"/>
              <w:jc w:val="center"/>
              <w:rPr>
                <w:rFonts w:ascii="Times New Roman" w:hAnsi="Times New Roman" w:cs="Times New Roman"/>
                <w:b/>
                <w:color w:val="auto"/>
                <w:sz w:val="21"/>
                <w:lang w:eastAsia="zh-CN"/>
              </w:rPr>
            </w:pPr>
          </w:p>
          <w:p w14:paraId="6D2D550A">
            <w:pPr>
              <w:overflowPunct w:val="0"/>
              <w:autoSpaceDE w:val="0"/>
              <w:autoSpaceDN w:val="0"/>
              <w:jc w:val="center"/>
              <w:rPr>
                <w:rFonts w:ascii="Times New Roman" w:hAnsi="Times New Roman" w:cs="Times New Roman"/>
                <w:b/>
                <w:color w:val="auto"/>
                <w:sz w:val="21"/>
                <w:lang w:eastAsia="zh-CN"/>
              </w:rPr>
            </w:pPr>
          </w:p>
          <w:p w14:paraId="178909FC">
            <w:pPr>
              <w:overflowPunct w:val="0"/>
              <w:autoSpaceDE w:val="0"/>
              <w:autoSpaceDN w:val="0"/>
              <w:jc w:val="center"/>
              <w:rPr>
                <w:rFonts w:ascii="Times New Roman" w:hAnsi="Times New Roman" w:cs="Times New Roman"/>
                <w:b/>
                <w:color w:val="auto"/>
                <w:sz w:val="21"/>
                <w:lang w:eastAsia="zh-CN"/>
              </w:rPr>
            </w:pPr>
          </w:p>
          <w:p w14:paraId="327DF624">
            <w:pPr>
              <w:overflowPunct w:val="0"/>
              <w:autoSpaceDE w:val="0"/>
              <w:autoSpaceDN w:val="0"/>
              <w:jc w:val="center"/>
              <w:rPr>
                <w:rFonts w:ascii="Times New Roman" w:hAnsi="Times New Roman" w:cs="Times New Roman"/>
                <w:b/>
                <w:color w:val="auto"/>
                <w:sz w:val="21"/>
                <w:lang w:eastAsia="zh-CN"/>
              </w:rPr>
            </w:pPr>
          </w:p>
          <w:p w14:paraId="4B59B722">
            <w:pPr>
              <w:overflowPunct w:val="0"/>
              <w:autoSpaceDE w:val="0"/>
              <w:autoSpaceDN w:val="0"/>
              <w:jc w:val="center"/>
              <w:rPr>
                <w:rFonts w:ascii="Times New Roman" w:hAnsi="Times New Roman" w:cs="Times New Roman"/>
                <w:b/>
                <w:color w:val="auto"/>
                <w:sz w:val="21"/>
                <w:lang w:eastAsia="zh-CN"/>
              </w:rPr>
            </w:pPr>
          </w:p>
          <w:p w14:paraId="11734AF8">
            <w:pPr>
              <w:overflowPunct w:val="0"/>
              <w:autoSpaceDE w:val="0"/>
              <w:autoSpaceDN w:val="0"/>
              <w:jc w:val="center"/>
              <w:rPr>
                <w:rFonts w:ascii="Times New Roman" w:hAnsi="Times New Roman" w:cs="Times New Roman"/>
                <w:b/>
                <w:color w:val="auto"/>
                <w:sz w:val="21"/>
                <w:lang w:eastAsia="zh-CN"/>
              </w:rPr>
            </w:pPr>
          </w:p>
          <w:p w14:paraId="0684DFE4">
            <w:pPr>
              <w:spacing w:line="360" w:lineRule="auto"/>
              <w:jc w:val="both"/>
              <w:rPr>
                <w:rFonts w:ascii="Times New Roman" w:hAnsi="Times New Roman" w:eastAsia="宋体" w:cs="Times New Roman"/>
                <w:color w:val="auto"/>
                <w:sz w:val="24"/>
                <w:szCs w:val="24"/>
                <w:lang w:eastAsia="zh-CN"/>
              </w:rPr>
            </w:pPr>
          </w:p>
        </w:tc>
      </w:tr>
      <w:tr w14:paraId="5C1E8D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29" w:hRule="atLeast"/>
          <w:jc w:val="center"/>
        </w:trPr>
        <w:tc>
          <w:tcPr>
            <w:tcW w:w="806" w:type="dxa"/>
            <w:tcBorders>
              <w:tl2br w:val="nil"/>
              <w:tr2bl w:val="nil"/>
            </w:tcBorders>
            <w:vAlign w:val="center"/>
          </w:tcPr>
          <w:p w14:paraId="5D087C8F">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11"/>
                <w:sz w:val="24"/>
                <w:szCs w:val="24"/>
                <w:lang w:eastAsia="zh-CN"/>
              </w:rPr>
              <w:t>运营期环境影响和保</w:t>
            </w:r>
            <w:r>
              <w:rPr>
                <w:rFonts w:ascii="Times New Roman" w:hAnsi="Times New Roman" w:eastAsia="宋体" w:cs="Times New Roman"/>
                <w:color w:val="auto"/>
                <w:spacing w:val="-14"/>
                <w:sz w:val="24"/>
                <w:szCs w:val="24"/>
                <w:lang w:eastAsia="zh-CN"/>
              </w:rPr>
              <w:t>护措施</w:t>
            </w:r>
          </w:p>
        </w:tc>
        <w:tc>
          <w:tcPr>
            <w:tcW w:w="8265" w:type="dxa"/>
            <w:tcBorders>
              <w:tl2br w:val="nil"/>
              <w:tr2bl w:val="nil"/>
            </w:tcBorders>
            <w:vAlign w:val="center"/>
          </w:tcPr>
          <w:p w14:paraId="12D8DC46">
            <w:pPr>
              <w:spacing w:line="360" w:lineRule="auto"/>
              <w:ind w:firstLine="482" w:firstLineChars="200"/>
              <w:jc w:val="both"/>
              <w:rPr>
                <w:rFonts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4</w:t>
            </w:r>
            <w:r>
              <w:rPr>
                <w:rFonts w:ascii="Times New Roman" w:hAnsi="Times New Roman" w:eastAsia="宋体" w:cs="Times New Roman"/>
                <w:b/>
                <w:color w:val="auto"/>
                <w:sz w:val="24"/>
                <w:szCs w:val="24"/>
                <w:highlight w:val="none"/>
                <w:lang w:eastAsia="zh-CN"/>
              </w:rPr>
              <w:t>废气</w:t>
            </w:r>
          </w:p>
          <w:p w14:paraId="3CB41D9A">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 xml:space="preserve">本项目为石灰深加工项目，对照《排污许可证申请与核发技术规范 </w:t>
            </w:r>
            <w:r>
              <w:rPr>
                <w:rFonts w:hint="eastAsia" w:ascii="Times New Roman" w:hAnsi="Times New Roman" w:eastAsia="宋体" w:cs="Times New Roman"/>
                <w:color w:val="auto"/>
                <w:sz w:val="24"/>
                <w:szCs w:val="24"/>
                <w:lang w:val="en-US" w:eastAsia="zh-CN"/>
              </w:rPr>
              <w:t>总则</w:t>
            </w:r>
            <w:r>
              <w:rPr>
                <w:rFonts w:hint="eastAsia" w:ascii="Times New Roman" w:hAnsi="Times New Roman" w:eastAsia="宋体" w:cs="Times New Roman"/>
                <w:color w:val="auto"/>
                <w:sz w:val="24"/>
                <w:szCs w:val="24"/>
                <w:lang w:eastAsia="zh-CN"/>
              </w:rPr>
              <w:t>》（HJ</w:t>
            </w:r>
            <w:r>
              <w:rPr>
                <w:rFonts w:hint="eastAsia" w:ascii="Times New Roman" w:hAnsi="Times New Roman" w:eastAsia="宋体" w:cs="Times New Roman"/>
                <w:color w:val="auto"/>
                <w:sz w:val="24"/>
                <w:szCs w:val="24"/>
                <w:lang w:val="en-US" w:eastAsia="zh-CN"/>
              </w:rPr>
              <w:t>942</w:t>
            </w:r>
            <w:r>
              <w:rPr>
                <w:rFonts w:hint="eastAsia" w:ascii="Times New Roman" w:hAnsi="Times New Roman" w:eastAsia="宋体" w:cs="Times New Roman"/>
                <w:color w:val="auto"/>
                <w:sz w:val="24"/>
                <w:szCs w:val="24"/>
                <w:lang w:eastAsia="zh-CN"/>
              </w:rPr>
              <w:t>-201</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lang w:eastAsia="zh-CN"/>
              </w:rPr>
              <w:t>），排污单位主要生产单元、主要工艺及生产设施名称、设施参数</w:t>
            </w:r>
            <w:r>
              <w:rPr>
                <w:rFonts w:hint="eastAsia" w:ascii="Times New Roman" w:hAnsi="Times New Roman" w:eastAsia="宋体" w:cs="Times New Roman"/>
                <w:color w:val="auto"/>
                <w:sz w:val="24"/>
                <w:szCs w:val="24"/>
                <w:lang w:val="en-US" w:eastAsia="zh-CN"/>
              </w:rPr>
              <w:t>及产排污环节见表4.4-1。</w:t>
            </w:r>
          </w:p>
          <w:p w14:paraId="589B5014">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产污系数参照</w:t>
            </w:r>
            <w:r>
              <w:rPr>
                <w:rFonts w:hint="eastAsia" w:ascii="Times New Roman" w:hAnsi="Times New Roman" w:eastAsia="宋体" w:cs="Times New Roman"/>
                <w:color w:val="auto"/>
                <w:sz w:val="24"/>
                <w:szCs w:val="24"/>
                <w:lang w:eastAsia="zh-CN"/>
              </w:rPr>
              <w:t>《排放源统计调查产排污核算方法和系数手册》（公告2021年第24号，2021年6月9日）</w:t>
            </w:r>
            <w:r>
              <w:rPr>
                <w:rFonts w:hint="eastAsia" w:ascii="Times New Roman" w:hAnsi="Times New Roman" w:eastAsia="宋体" w:cs="Times New Roman"/>
                <w:color w:val="auto"/>
                <w:sz w:val="24"/>
                <w:szCs w:val="24"/>
                <w:lang w:val="en-US" w:eastAsia="zh-CN"/>
              </w:rPr>
              <w:t>中《3099其他非金属矿物制品制造行业系数手册》。具体产污系数见表4.4-2。</w:t>
            </w:r>
          </w:p>
          <w:p w14:paraId="56B13582">
            <w:pPr>
              <w:jc w:val="center"/>
              <w:rPr>
                <w:rFonts w:ascii="Times New Roman" w:hAnsi="Times New Roman" w:cs="Times New Roman"/>
                <w:b/>
                <w:bCs/>
                <w:color w:val="auto"/>
                <w:szCs w:val="21"/>
                <w:lang w:eastAsia="zh-CN"/>
              </w:rPr>
            </w:pPr>
            <w:r>
              <w:rPr>
                <w:rFonts w:ascii="Times New Roman" w:hAnsi="Times New Roman" w:cs="Times New Roman"/>
                <w:b/>
                <w:bCs/>
                <w:color w:val="auto"/>
                <w:szCs w:val="21"/>
                <w:lang w:eastAsia="zh-CN"/>
              </w:rPr>
              <w:t>表</w:t>
            </w:r>
            <w:r>
              <w:rPr>
                <w:rFonts w:hint="eastAsia" w:ascii="Times New Roman" w:hAnsi="Times New Roman" w:eastAsia="宋体" w:cs="Times New Roman"/>
                <w:b/>
                <w:bCs/>
                <w:color w:val="auto"/>
                <w:szCs w:val="21"/>
                <w:lang w:eastAsia="zh-CN"/>
              </w:rPr>
              <w:t>4</w:t>
            </w:r>
            <w:r>
              <w:rPr>
                <w:rFonts w:hint="eastAsia" w:ascii="Times New Roman" w:hAnsi="Times New Roman" w:eastAsia="宋体" w:cs="Times New Roman"/>
                <w:b/>
                <w:bCs/>
                <w:color w:val="auto"/>
                <w:szCs w:val="21"/>
                <w:lang w:val="en-US" w:eastAsia="zh-CN"/>
              </w:rPr>
              <w:t>.4</w:t>
            </w:r>
            <w:r>
              <w:rPr>
                <w:rFonts w:hint="eastAsia" w:ascii="Times New Roman" w:hAnsi="Times New Roman" w:eastAsia="宋体" w:cs="Times New Roman"/>
                <w:b/>
                <w:bCs/>
                <w:color w:val="auto"/>
                <w:szCs w:val="21"/>
                <w:lang w:eastAsia="zh-CN"/>
              </w:rPr>
              <w:t>-</w:t>
            </w:r>
            <w:r>
              <w:rPr>
                <w:rFonts w:hint="eastAsia" w:ascii="Times New Roman" w:hAnsi="Times New Roman" w:eastAsia="宋体" w:cs="Times New Roman"/>
                <w:b/>
                <w:bCs/>
                <w:color w:val="auto"/>
                <w:szCs w:val="21"/>
                <w:lang w:val="en-US" w:eastAsia="zh-CN"/>
              </w:rPr>
              <w:t>1</w:t>
            </w:r>
            <w:r>
              <w:rPr>
                <w:rFonts w:ascii="Times New Roman" w:hAnsi="Times New Roman" w:cs="Times New Roman"/>
                <w:b/>
                <w:bCs/>
                <w:color w:val="auto"/>
                <w:szCs w:val="21"/>
                <w:lang w:eastAsia="zh-CN"/>
              </w:rPr>
              <w:t xml:space="preserve">    排污单位主要生产单元、主要工艺</w:t>
            </w:r>
            <w:r>
              <w:rPr>
                <w:rFonts w:hint="eastAsia" w:ascii="Times New Roman" w:hAnsi="Times New Roman" w:cs="Times New Roman"/>
                <w:b/>
                <w:bCs/>
                <w:color w:val="auto"/>
                <w:szCs w:val="21"/>
                <w:lang w:eastAsia="zh-CN"/>
              </w:rPr>
              <w:t>、</w:t>
            </w:r>
            <w:r>
              <w:rPr>
                <w:rFonts w:ascii="Times New Roman" w:hAnsi="Times New Roman" w:cs="Times New Roman"/>
                <w:b/>
                <w:bCs/>
                <w:color w:val="auto"/>
                <w:szCs w:val="21"/>
                <w:lang w:eastAsia="zh-CN"/>
              </w:rPr>
              <w:t>生产设施</w:t>
            </w:r>
            <w:r>
              <w:rPr>
                <w:rFonts w:hint="eastAsia" w:ascii="Times New Roman" w:hAnsi="Times New Roman" w:cs="Times New Roman"/>
                <w:b/>
                <w:bCs/>
                <w:color w:val="auto"/>
                <w:szCs w:val="21"/>
                <w:lang w:val="en-US" w:eastAsia="zh-CN"/>
              </w:rPr>
              <w:t>及</w:t>
            </w:r>
            <w:r>
              <w:rPr>
                <w:rFonts w:ascii="Times New Roman" w:hAnsi="Times New Roman" w:cs="Times New Roman"/>
                <w:b/>
                <w:bCs/>
                <w:color w:val="auto"/>
                <w:szCs w:val="21"/>
                <w:lang w:eastAsia="zh-CN"/>
              </w:rPr>
              <w:t>设施参数表</w:t>
            </w:r>
          </w:p>
          <w:tbl>
            <w:tblPr>
              <w:tblStyle w:val="32"/>
              <w:tblW w:w="4949"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1278"/>
              <w:gridCol w:w="1139"/>
              <w:gridCol w:w="1200"/>
              <w:gridCol w:w="1811"/>
              <w:gridCol w:w="1431"/>
              <w:gridCol w:w="1293"/>
            </w:tblGrid>
            <w:tr w14:paraId="305BCA2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278" w:type="dxa"/>
                  <w:tcBorders>
                    <w:tl2br w:val="nil"/>
                    <w:tr2bl w:val="nil"/>
                  </w:tcBorders>
                  <w:vAlign w:val="center"/>
                </w:tcPr>
                <w:p w14:paraId="638B41FB">
                  <w:pPr>
                    <w:pStyle w:val="42"/>
                    <w:jc w:val="center"/>
                    <w:rPr>
                      <w:rFonts w:ascii="Times New Roman" w:hAnsi="Times New Roman" w:eastAsia="宋体" w:cs="Times New Roman"/>
                      <w:color w:val="auto"/>
                      <w:sz w:val="21"/>
                      <w:szCs w:val="21"/>
                      <w:lang w:eastAsia="zh-CN"/>
                    </w:rPr>
                  </w:pPr>
                  <w:r>
                    <w:rPr>
                      <w:rFonts w:ascii="Times New Roman" w:hAnsi="Times New Roman" w:eastAsia="宋体" w:cs="Times New Roman"/>
                      <w:b/>
                      <w:bCs/>
                      <w:color w:val="auto"/>
                      <w:sz w:val="21"/>
                      <w:szCs w:val="21"/>
                      <w:lang w:eastAsia="zh-CN"/>
                    </w:rPr>
                    <w:t>主要生产单元</w:t>
                  </w:r>
                </w:p>
              </w:tc>
              <w:tc>
                <w:tcPr>
                  <w:tcW w:w="1139" w:type="dxa"/>
                  <w:tcBorders>
                    <w:tl2br w:val="nil"/>
                    <w:tr2bl w:val="nil"/>
                  </w:tcBorders>
                  <w:vAlign w:val="center"/>
                </w:tcPr>
                <w:p w14:paraId="5DD05146">
                  <w:pPr>
                    <w:pStyle w:val="42"/>
                    <w:jc w:val="center"/>
                    <w:rPr>
                      <w:rFonts w:ascii="Times New Roman" w:hAnsi="Times New Roman" w:eastAsia="宋体" w:cs="Times New Roman"/>
                      <w:color w:val="auto"/>
                      <w:sz w:val="21"/>
                      <w:szCs w:val="21"/>
                      <w:lang w:eastAsia="zh-CN"/>
                    </w:rPr>
                  </w:pPr>
                  <w:r>
                    <w:rPr>
                      <w:rFonts w:ascii="Times New Roman" w:hAnsi="Times New Roman" w:eastAsia="宋体" w:cs="Times New Roman"/>
                      <w:b/>
                      <w:bCs/>
                      <w:color w:val="auto"/>
                      <w:sz w:val="21"/>
                      <w:szCs w:val="21"/>
                      <w:lang w:eastAsia="zh-CN"/>
                    </w:rPr>
                    <w:t>主要工艺</w:t>
                  </w:r>
                </w:p>
              </w:tc>
              <w:tc>
                <w:tcPr>
                  <w:tcW w:w="1200" w:type="dxa"/>
                  <w:tcBorders>
                    <w:tl2br w:val="nil"/>
                    <w:tr2bl w:val="nil"/>
                  </w:tcBorders>
                  <w:vAlign w:val="center"/>
                </w:tcPr>
                <w:p w14:paraId="6A6B3242">
                  <w:pPr>
                    <w:pStyle w:val="42"/>
                    <w:jc w:val="center"/>
                    <w:rPr>
                      <w:rFonts w:ascii="Times New Roman" w:hAnsi="Times New Roman" w:eastAsia="宋体" w:cs="Times New Roman"/>
                      <w:color w:val="auto"/>
                      <w:sz w:val="21"/>
                      <w:szCs w:val="21"/>
                      <w:lang w:eastAsia="zh-CN"/>
                    </w:rPr>
                  </w:pPr>
                  <w:r>
                    <w:rPr>
                      <w:rFonts w:ascii="Times New Roman" w:hAnsi="Times New Roman" w:eastAsia="宋体" w:cs="Times New Roman"/>
                      <w:b/>
                      <w:bCs/>
                      <w:color w:val="auto"/>
                      <w:sz w:val="21"/>
                      <w:szCs w:val="21"/>
                      <w:lang w:eastAsia="zh-CN"/>
                    </w:rPr>
                    <w:t>生产设施</w:t>
                  </w:r>
                </w:p>
              </w:tc>
              <w:tc>
                <w:tcPr>
                  <w:tcW w:w="1811" w:type="dxa"/>
                  <w:tcBorders>
                    <w:tl2br w:val="nil"/>
                    <w:tr2bl w:val="nil"/>
                  </w:tcBorders>
                  <w:vAlign w:val="center"/>
                </w:tcPr>
                <w:p w14:paraId="5D71CAD9">
                  <w:pPr>
                    <w:pStyle w:val="42"/>
                    <w:jc w:val="center"/>
                    <w:rPr>
                      <w:rFonts w:ascii="Times New Roman" w:hAnsi="Times New Roman" w:eastAsia="宋体" w:cs="Times New Roman"/>
                      <w:color w:val="auto"/>
                      <w:sz w:val="21"/>
                      <w:szCs w:val="21"/>
                      <w:lang w:eastAsia="zh-CN"/>
                    </w:rPr>
                  </w:pPr>
                  <w:r>
                    <w:rPr>
                      <w:rFonts w:ascii="Times New Roman" w:hAnsi="Times New Roman" w:eastAsia="宋体" w:cs="Times New Roman"/>
                      <w:b/>
                      <w:bCs/>
                      <w:color w:val="auto"/>
                      <w:sz w:val="21"/>
                      <w:szCs w:val="21"/>
                      <w:lang w:eastAsia="zh-CN"/>
                    </w:rPr>
                    <w:t>设施参数</w:t>
                  </w:r>
                </w:p>
              </w:tc>
              <w:tc>
                <w:tcPr>
                  <w:tcW w:w="1431" w:type="dxa"/>
                  <w:tcBorders>
                    <w:tl2br w:val="nil"/>
                    <w:tr2bl w:val="nil"/>
                  </w:tcBorders>
                  <w:vAlign w:val="center"/>
                </w:tcPr>
                <w:p w14:paraId="10E6A08E">
                  <w:pPr>
                    <w:pStyle w:val="42"/>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产排污环节</w:t>
                  </w:r>
                </w:p>
              </w:tc>
              <w:tc>
                <w:tcPr>
                  <w:tcW w:w="1293" w:type="dxa"/>
                  <w:tcBorders>
                    <w:tl2br w:val="nil"/>
                    <w:tr2bl w:val="nil"/>
                  </w:tcBorders>
                  <w:vAlign w:val="center"/>
                </w:tcPr>
                <w:p w14:paraId="4929B8F3">
                  <w:pPr>
                    <w:pStyle w:val="42"/>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污染物种类</w:t>
                  </w:r>
                </w:p>
              </w:tc>
            </w:tr>
            <w:tr w14:paraId="2CF8D1C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278" w:type="dxa"/>
                  <w:vMerge w:val="restart"/>
                  <w:tcBorders>
                    <w:tl2br w:val="nil"/>
                    <w:tr2bl w:val="nil"/>
                  </w:tcBorders>
                  <w:vAlign w:val="center"/>
                </w:tcPr>
                <w:p w14:paraId="3DCDADEA">
                  <w:pPr>
                    <w:pStyle w:val="42"/>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主体工程</w:t>
                  </w:r>
                </w:p>
              </w:tc>
              <w:tc>
                <w:tcPr>
                  <w:tcW w:w="1139" w:type="dxa"/>
                  <w:vMerge w:val="restart"/>
                  <w:tcBorders>
                    <w:tl2br w:val="nil"/>
                    <w:tr2bl w:val="nil"/>
                  </w:tcBorders>
                  <w:vAlign w:val="center"/>
                </w:tcPr>
                <w:p w14:paraId="2B401895">
                  <w:pPr>
                    <w:pStyle w:val="4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highlight w:val="none"/>
                      <w:lang w:val="en-US" w:eastAsia="zh-CN"/>
                    </w:rPr>
                    <w:t>氧化钙粉生产线</w:t>
                  </w:r>
                </w:p>
              </w:tc>
              <w:tc>
                <w:tcPr>
                  <w:tcW w:w="1200" w:type="dxa"/>
                  <w:tcBorders>
                    <w:tl2br w:val="nil"/>
                    <w:tr2bl w:val="nil"/>
                  </w:tcBorders>
                  <w:vAlign w:val="center"/>
                </w:tcPr>
                <w:p w14:paraId="4DD2F4C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上料机</w:t>
                  </w:r>
                </w:p>
              </w:tc>
              <w:tc>
                <w:tcPr>
                  <w:tcW w:w="1811" w:type="dxa"/>
                  <w:tcBorders>
                    <w:tl2br w:val="nil"/>
                    <w:tr2bl w:val="nil"/>
                  </w:tcBorders>
                  <w:vAlign w:val="center"/>
                </w:tcPr>
                <w:p w14:paraId="7270F358">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25t/h</w:t>
                  </w:r>
                </w:p>
              </w:tc>
              <w:tc>
                <w:tcPr>
                  <w:tcW w:w="1431" w:type="dxa"/>
                  <w:tcBorders>
                    <w:tl2br w:val="nil"/>
                    <w:tr2bl w:val="nil"/>
                  </w:tcBorders>
                  <w:vAlign w:val="center"/>
                </w:tcPr>
                <w:p w14:paraId="4E9D7FD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转载</w:t>
                  </w:r>
                </w:p>
              </w:tc>
              <w:tc>
                <w:tcPr>
                  <w:tcW w:w="1293" w:type="dxa"/>
                  <w:tcBorders>
                    <w:tl2br w:val="nil"/>
                    <w:tr2bl w:val="nil"/>
                  </w:tcBorders>
                  <w:vAlign w:val="center"/>
                </w:tcPr>
                <w:p w14:paraId="04B4573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r>
            <w:tr w14:paraId="1DBAC8C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278" w:type="dxa"/>
                  <w:vMerge w:val="continue"/>
                  <w:tcBorders>
                    <w:tl2br w:val="nil"/>
                    <w:tr2bl w:val="nil"/>
                  </w:tcBorders>
                  <w:vAlign w:val="center"/>
                </w:tcPr>
                <w:p w14:paraId="5F97942F">
                  <w:pPr>
                    <w:pStyle w:val="42"/>
                    <w:jc w:val="center"/>
                    <w:rPr>
                      <w:rFonts w:hint="eastAsia" w:ascii="Times New Roman" w:hAnsi="Times New Roman" w:eastAsia="宋体" w:cs="Times New Roman"/>
                      <w:color w:val="auto"/>
                      <w:sz w:val="21"/>
                      <w:szCs w:val="21"/>
                      <w:lang w:val="en-US" w:eastAsia="zh-CN"/>
                    </w:rPr>
                  </w:pPr>
                </w:p>
              </w:tc>
              <w:tc>
                <w:tcPr>
                  <w:tcW w:w="1139" w:type="dxa"/>
                  <w:vMerge w:val="continue"/>
                  <w:tcBorders>
                    <w:tl2br w:val="nil"/>
                    <w:tr2bl w:val="nil"/>
                  </w:tcBorders>
                  <w:vAlign w:val="center"/>
                </w:tcPr>
                <w:p w14:paraId="5E7E9097">
                  <w:pPr>
                    <w:pStyle w:val="42"/>
                    <w:jc w:val="center"/>
                    <w:rPr>
                      <w:rFonts w:hint="eastAsia" w:ascii="Times New Roman" w:hAnsi="Times New Roman" w:eastAsia="宋体" w:cs="Times New Roman"/>
                      <w:color w:val="auto"/>
                      <w:sz w:val="21"/>
                      <w:szCs w:val="21"/>
                      <w:lang w:val="en-US" w:eastAsia="zh-CN"/>
                    </w:rPr>
                  </w:pPr>
                </w:p>
              </w:tc>
              <w:tc>
                <w:tcPr>
                  <w:tcW w:w="1200" w:type="dxa"/>
                  <w:tcBorders>
                    <w:tl2br w:val="nil"/>
                    <w:tr2bl w:val="nil"/>
                  </w:tcBorders>
                  <w:vAlign w:val="center"/>
                </w:tcPr>
                <w:p w14:paraId="0DA14B9C">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破碎机</w:t>
                  </w:r>
                </w:p>
              </w:tc>
              <w:tc>
                <w:tcPr>
                  <w:tcW w:w="1811" w:type="dxa"/>
                  <w:tcBorders>
                    <w:tl2br w:val="nil"/>
                    <w:tr2bl w:val="nil"/>
                  </w:tcBorders>
                  <w:vAlign w:val="center"/>
                </w:tcPr>
                <w:p w14:paraId="3DEED0A5">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25t/h</w:t>
                  </w:r>
                </w:p>
              </w:tc>
              <w:tc>
                <w:tcPr>
                  <w:tcW w:w="1431" w:type="dxa"/>
                  <w:tcBorders>
                    <w:tl2br w:val="nil"/>
                    <w:tr2bl w:val="nil"/>
                  </w:tcBorders>
                  <w:vAlign w:val="center"/>
                </w:tcPr>
                <w:p w14:paraId="10A11478">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破碎</w:t>
                  </w:r>
                </w:p>
              </w:tc>
              <w:tc>
                <w:tcPr>
                  <w:tcW w:w="1293" w:type="dxa"/>
                  <w:tcBorders>
                    <w:tl2br w:val="nil"/>
                    <w:tr2bl w:val="nil"/>
                  </w:tcBorders>
                  <w:vAlign w:val="center"/>
                </w:tcPr>
                <w:p w14:paraId="7F033638">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r>
            <w:tr w14:paraId="791AE67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278" w:type="dxa"/>
                  <w:vMerge w:val="restart"/>
                  <w:tcBorders>
                    <w:tl2br w:val="nil"/>
                    <w:tr2bl w:val="nil"/>
                  </w:tcBorders>
                  <w:vAlign w:val="center"/>
                </w:tcPr>
                <w:p w14:paraId="47D9FD82">
                  <w:pPr>
                    <w:pStyle w:val="42"/>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储运工程</w:t>
                  </w:r>
                </w:p>
              </w:tc>
              <w:tc>
                <w:tcPr>
                  <w:tcW w:w="1139" w:type="dxa"/>
                  <w:vMerge w:val="restart"/>
                  <w:tcBorders>
                    <w:tl2br w:val="nil"/>
                    <w:tr2bl w:val="nil"/>
                  </w:tcBorders>
                  <w:vAlign w:val="center"/>
                </w:tcPr>
                <w:p w14:paraId="6F265A5D">
                  <w:pPr>
                    <w:pStyle w:val="42"/>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储运系统</w:t>
                  </w:r>
                </w:p>
              </w:tc>
              <w:tc>
                <w:tcPr>
                  <w:tcW w:w="1200" w:type="dxa"/>
                  <w:tcBorders>
                    <w:tl2br w:val="nil"/>
                    <w:tr2bl w:val="nil"/>
                  </w:tcBorders>
                  <w:vAlign w:val="center"/>
                </w:tcPr>
                <w:p w14:paraId="47FB9C7F">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原料库</w:t>
                  </w:r>
                </w:p>
              </w:tc>
              <w:tc>
                <w:tcPr>
                  <w:tcW w:w="1811" w:type="dxa"/>
                  <w:tcBorders>
                    <w:tl2br w:val="nil"/>
                    <w:tr2bl w:val="nil"/>
                  </w:tcBorders>
                  <w:vAlign w:val="center"/>
                </w:tcPr>
                <w:p w14:paraId="275DB46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400m</w:t>
                  </w:r>
                  <w:r>
                    <w:rPr>
                      <w:rFonts w:hint="eastAsia" w:ascii="Times New Roman" w:hAnsi="Times New Roman" w:eastAsia="宋体" w:cs="Times New Roman"/>
                      <w:color w:val="auto"/>
                      <w:sz w:val="21"/>
                      <w:szCs w:val="21"/>
                      <w:vertAlign w:val="superscript"/>
                      <w:lang w:val="en-US" w:eastAsia="zh-CN"/>
                    </w:rPr>
                    <w:t>2</w:t>
                  </w:r>
                </w:p>
              </w:tc>
              <w:tc>
                <w:tcPr>
                  <w:tcW w:w="1431" w:type="dxa"/>
                  <w:tcBorders>
                    <w:tl2br w:val="nil"/>
                    <w:tr2bl w:val="nil"/>
                  </w:tcBorders>
                  <w:vAlign w:val="center"/>
                </w:tcPr>
                <w:p w14:paraId="66B8B82E">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储运</w:t>
                  </w:r>
                </w:p>
              </w:tc>
              <w:tc>
                <w:tcPr>
                  <w:tcW w:w="1293" w:type="dxa"/>
                  <w:tcBorders>
                    <w:tl2br w:val="nil"/>
                    <w:tr2bl w:val="nil"/>
                  </w:tcBorders>
                  <w:vAlign w:val="center"/>
                </w:tcPr>
                <w:p w14:paraId="0419818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r>
            <w:tr w14:paraId="1B1AEB8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278" w:type="dxa"/>
                  <w:vMerge w:val="continue"/>
                  <w:tcBorders>
                    <w:tl2br w:val="nil"/>
                    <w:tr2bl w:val="nil"/>
                  </w:tcBorders>
                  <w:vAlign w:val="center"/>
                </w:tcPr>
                <w:p w14:paraId="5BB08D35">
                  <w:pPr>
                    <w:pStyle w:val="42"/>
                    <w:jc w:val="center"/>
                    <w:rPr>
                      <w:rFonts w:hint="eastAsia" w:ascii="Times New Roman" w:hAnsi="Times New Roman" w:eastAsia="宋体" w:cs="Times New Roman"/>
                      <w:color w:val="auto"/>
                      <w:sz w:val="21"/>
                      <w:szCs w:val="21"/>
                      <w:lang w:val="en-US" w:eastAsia="zh-CN"/>
                    </w:rPr>
                  </w:pPr>
                </w:p>
              </w:tc>
              <w:tc>
                <w:tcPr>
                  <w:tcW w:w="1139" w:type="dxa"/>
                  <w:vMerge w:val="continue"/>
                  <w:tcBorders>
                    <w:tl2br w:val="nil"/>
                    <w:tr2bl w:val="nil"/>
                  </w:tcBorders>
                  <w:vAlign w:val="center"/>
                </w:tcPr>
                <w:p w14:paraId="380EB5B1">
                  <w:pPr>
                    <w:pStyle w:val="42"/>
                    <w:jc w:val="center"/>
                    <w:rPr>
                      <w:rFonts w:hint="eastAsia" w:ascii="Times New Roman" w:hAnsi="Times New Roman" w:eastAsia="宋体" w:cs="Times New Roman"/>
                      <w:color w:val="auto"/>
                      <w:sz w:val="21"/>
                      <w:szCs w:val="21"/>
                      <w:lang w:val="en-US" w:eastAsia="zh-CN"/>
                    </w:rPr>
                  </w:pPr>
                </w:p>
              </w:tc>
              <w:tc>
                <w:tcPr>
                  <w:tcW w:w="1200" w:type="dxa"/>
                  <w:tcBorders>
                    <w:tl2br w:val="nil"/>
                    <w:tr2bl w:val="nil"/>
                  </w:tcBorders>
                  <w:vAlign w:val="center"/>
                </w:tcPr>
                <w:p w14:paraId="16B8C8E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成品仓</w:t>
                  </w:r>
                </w:p>
              </w:tc>
              <w:tc>
                <w:tcPr>
                  <w:tcW w:w="1811" w:type="dxa"/>
                  <w:tcBorders>
                    <w:tl2br w:val="nil"/>
                    <w:tr2bl w:val="nil"/>
                  </w:tcBorders>
                  <w:vAlign w:val="center"/>
                </w:tcPr>
                <w:p w14:paraId="2279D1D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000000"/>
                      <w:kern w:val="2"/>
                      <w:sz w:val="21"/>
                      <w:szCs w:val="21"/>
                      <w:highlight w:val="none"/>
                      <w:lang w:val="en-US" w:eastAsia="zh-CN" w:bidi="ar-SA"/>
                    </w:rPr>
                    <w:t>200m</w:t>
                  </w:r>
                  <w:r>
                    <w:rPr>
                      <w:rFonts w:hint="eastAsia" w:ascii="Times New Roman" w:hAnsi="Times New Roman" w:eastAsia="宋体" w:cs="Times New Roman"/>
                      <w:color w:val="000000"/>
                      <w:kern w:val="2"/>
                      <w:sz w:val="21"/>
                      <w:szCs w:val="21"/>
                      <w:highlight w:val="none"/>
                      <w:vertAlign w:val="superscript"/>
                      <w:lang w:val="en-US" w:eastAsia="zh-CN" w:bidi="ar-SA"/>
                    </w:rPr>
                    <w:t>3</w:t>
                  </w:r>
                </w:p>
              </w:tc>
              <w:tc>
                <w:tcPr>
                  <w:tcW w:w="1431" w:type="dxa"/>
                  <w:tcBorders>
                    <w:tl2br w:val="nil"/>
                    <w:tr2bl w:val="nil"/>
                  </w:tcBorders>
                  <w:vAlign w:val="center"/>
                </w:tcPr>
                <w:p w14:paraId="6CC7E93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储运</w:t>
                  </w:r>
                </w:p>
              </w:tc>
              <w:tc>
                <w:tcPr>
                  <w:tcW w:w="1293" w:type="dxa"/>
                  <w:tcBorders>
                    <w:tl2br w:val="nil"/>
                    <w:tr2bl w:val="nil"/>
                  </w:tcBorders>
                  <w:vAlign w:val="center"/>
                </w:tcPr>
                <w:p w14:paraId="2CB34CC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r>
          </w:tbl>
          <w:p w14:paraId="6FEFF18D">
            <w:pPr>
              <w:jc w:val="center"/>
              <w:rPr>
                <w:rFonts w:ascii="Times New Roman" w:hAnsi="Times New Roman" w:cs="Times New Roman"/>
                <w:b/>
                <w:bCs/>
                <w:color w:val="auto"/>
                <w:szCs w:val="21"/>
                <w:highlight w:val="none"/>
                <w:lang w:eastAsia="zh-CN"/>
              </w:rPr>
            </w:pPr>
            <w:r>
              <w:rPr>
                <w:rFonts w:ascii="Times New Roman" w:hAnsi="Times New Roman" w:cs="Times New Roman"/>
                <w:b/>
                <w:bCs/>
                <w:color w:val="auto"/>
                <w:szCs w:val="21"/>
                <w:lang w:eastAsia="zh-CN"/>
              </w:rPr>
              <w:t>表</w:t>
            </w:r>
            <w:r>
              <w:rPr>
                <w:rFonts w:hint="eastAsia" w:ascii="Times New Roman" w:hAnsi="Times New Roman" w:eastAsia="宋体" w:cs="Times New Roman"/>
                <w:b/>
                <w:bCs/>
                <w:color w:val="auto"/>
                <w:szCs w:val="21"/>
                <w:lang w:eastAsia="zh-CN"/>
              </w:rPr>
              <w:t>4</w:t>
            </w:r>
            <w:r>
              <w:rPr>
                <w:rFonts w:hint="eastAsia" w:ascii="Times New Roman" w:hAnsi="Times New Roman" w:eastAsia="宋体" w:cs="Times New Roman"/>
                <w:b/>
                <w:bCs/>
                <w:color w:val="auto"/>
                <w:szCs w:val="21"/>
                <w:lang w:val="en-US" w:eastAsia="zh-CN"/>
              </w:rPr>
              <w:t>.4</w:t>
            </w:r>
            <w:r>
              <w:rPr>
                <w:rFonts w:hint="eastAsia" w:ascii="Times New Roman" w:hAnsi="Times New Roman" w:eastAsia="宋体" w:cs="Times New Roman"/>
                <w:b/>
                <w:bCs/>
                <w:color w:val="auto"/>
                <w:szCs w:val="21"/>
                <w:lang w:eastAsia="zh-CN"/>
              </w:rPr>
              <w:t>-</w:t>
            </w:r>
            <w:r>
              <w:rPr>
                <w:rFonts w:hint="eastAsia" w:ascii="Times New Roman" w:hAnsi="Times New Roman" w:eastAsia="宋体" w:cs="Times New Roman"/>
                <w:b/>
                <w:bCs/>
                <w:color w:val="auto"/>
                <w:szCs w:val="21"/>
                <w:lang w:val="en-US" w:eastAsia="zh-CN"/>
              </w:rPr>
              <w:t>2</w:t>
            </w:r>
            <w:r>
              <w:rPr>
                <w:rFonts w:ascii="Times New Roman" w:hAnsi="Times New Roman" w:cs="Times New Roman"/>
                <w:b/>
                <w:bCs/>
                <w:color w:val="auto"/>
                <w:szCs w:val="21"/>
                <w:lang w:eastAsia="zh-CN"/>
              </w:rPr>
              <w:t xml:space="preserve"> </w:t>
            </w:r>
            <w:r>
              <w:rPr>
                <w:rFonts w:hint="eastAsia" w:ascii="Times New Roman" w:hAnsi="Times New Roman" w:eastAsia="宋体" w:cs="Times New Roman"/>
                <w:b/>
                <w:bCs/>
                <w:color w:val="auto"/>
                <w:szCs w:val="21"/>
                <w:highlight w:val="none"/>
                <w:lang w:val="en-US" w:eastAsia="zh-CN"/>
              </w:rPr>
              <w:t xml:space="preserve">  </w:t>
            </w:r>
            <w:r>
              <w:rPr>
                <w:rFonts w:hint="eastAsia" w:ascii="Times New Roman" w:hAnsi="Times New Roman" w:cs="Times New Roman"/>
                <w:b/>
                <w:bCs/>
                <w:color w:val="auto"/>
                <w:szCs w:val="21"/>
                <w:highlight w:val="none"/>
                <w:lang w:eastAsia="zh-CN"/>
              </w:rPr>
              <w:t>产污系数表</w:t>
            </w:r>
          </w:p>
          <w:tbl>
            <w:tblPr>
              <w:tblStyle w:val="33"/>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558"/>
              <w:gridCol w:w="525"/>
              <w:gridCol w:w="662"/>
              <w:gridCol w:w="638"/>
              <w:gridCol w:w="600"/>
              <w:gridCol w:w="700"/>
              <w:gridCol w:w="1067"/>
              <w:gridCol w:w="855"/>
              <w:gridCol w:w="998"/>
              <w:gridCol w:w="741"/>
            </w:tblGrid>
            <w:tr w14:paraId="26F2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6" w:type="dxa"/>
                  <w:tcBorders>
                    <w:tl2br w:val="nil"/>
                    <w:tr2bl w:val="nil"/>
                  </w:tcBorders>
                  <w:vAlign w:val="center"/>
                </w:tcPr>
                <w:p w14:paraId="721C2FFF">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工段名称</w:t>
                  </w:r>
                </w:p>
              </w:tc>
              <w:tc>
                <w:tcPr>
                  <w:tcW w:w="558" w:type="dxa"/>
                  <w:tcBorders>
                    <w:tl2br w:val="nil"/>
                    <w:tr2bl w:val="nil"/>
                  </w:tcBorders>
                  <w:vAlign w:val="center"/>
                </w:tcPr>
                <w:p w14:paraId="23BE5C20">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产品名称</w:t>
                  </w:r>
                </w:p>
              </w:tc>
              <w:tc>
                <w:tcPr>
                  <w:tcW w:w="525" w:type="dxa"/>
                  <w:tcBorders>
                    <w:tl2br w:val="nil"/>
                    <w:tr2bl w:val="nil"/>
                  </w:tcBorders>
                  <w:vAlign w:val="center"/>
                </w:tcPr>
                <w:p w14:paraId="41FBF33C">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原料名称</w:t>
                  </w:r>
                </w:p>
              </w:tc>
              <w:tc>
                <w:tcPr>
                  <w:tcW w:w="662" w:type="dxa"/>
                  <w:tcBorders>
                    <w:tl2br w:val="nil"/>
                    <w:tr2bl w:val="nil"/>
                  </w:tcBorders>
                  <w:vAlign w:val="center"/>
                </w:tcPr>
                <w:p w14:paraId="2689C4E8">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工艺名称</w:t>
                  </w:r>
                </w:p>
              </w:tc>
              <w:tc>
                <w:tcPr>
                  <w:tcW w:w="638" w:type="dxa"/>
                  <w:tcBorders>
                    <w:tl2br w:val="nil"/>
                    <w:tr2bl w:val="nil"/>
                  </w:tcBorders>
                  <w:vAlign w:val="center"/>
                </w:tcPr>
                <w:p w14:paraId="05F04335">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规模等级</w:t>
                  </w:r>
                </w:p>
              </w:tc>
              <w:tc>
                <w:tcPr>
                  <w:tcW w:w="600" w:type="dxa"/>
                  <w:tcBorders>
                    <w:tl2br w:val="nil"/>
                    <w:tr2bl w:val="nil"/>
                  </w:tcBorders>
                  <w:vAlign w:val="center"/>
                </w:tcPr>
                <w:p w14:paraId="5C4A88C0">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w:t>
                  </w:r>
                  <w:r>
                    <w:rPr>
                      <w:rFonts w:hint="eastAsia" w:ascii="Times New Roman" w:hAnsi="Times New Roman" w:eastAsia="宋体" w:cs="Times New Roman"/>
                      <w:b/>
                      <w:bCs/>
                      <w:color w:val="auto"/>
                      <w:sz w:val="21"/>
                      <w:szCs w:val="21"/>
                      <w:lang w:val="en-US" w:eastAsia="zh-CN"/>
                    </w:rPr>
                    <w:t>类别</w:t>
                  </w:r>
                </w:p>
              </w:tc>
              <w:tc>
                <w:tcPr>
                  <w:tcW w:w="700" w:type="dxa"/>
                  <w:tcBorders>
                    <w:tl2br w:val="nil"/>
                    <w:tr2bl w:val="nil"/>
                  </w:tcBorders>
                  <w:vAlign w:val="center"/>
                </w:tcPr>
                <w:p w14:paraId="45C73088">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w:t>
                  </w:r>
                  <w:r>
                    <w:rPr>
                      <w:rFonts w:hint="eastAsia" w:ascii="Times New Roman" w:hAnsi="Times New Roman" w:eastAsia="宋体" w:cs="Times New Roman"/>
                      <w:b/>
                      <w:bCs/>
                      <w:color w:val="auto"/>
                      <w:sz w:val="21"/>
                      <w:szCs w:val="21"/>
                      <w:lang w:val="en-US" w:eastAsia="zh-CN"/>
                    </w:rPr>
                    <w:t>指标</w:t>
                  </w:r>
                </w:p>
              </w:tc>
              <w:tc>
                <w:tcPr>
                  <w:tcW w:w="1067" w:type="dxa"/>
                  <w:tcBorders>
                    <w:tl2br w:val="nil"/>
                    <w:tr2bl w:val="nil"/>
                  </w:tcBorders>
                  <w:vAlign w:val="center"/>
                </w:tcPr>
                <w:p w14:paraId="545AFFC3">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系数单位</w:t>
                  </w:r>
                </w:p>
              </w:tc>
              <w:tc>
                <w:tcPr>
                  <w:tcW w:w="855" w:type="dxa"/>
                  <w:tcBorders>
                    <w:tl2br w:val="nil"/>
                    <w:tr2bl w:val="nil"/>
                  </w:tcBorders>
                  <w:vAlign w:val="center"/>
                </w:tcPr>
                <w:p w14:paraId="68EF1111">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产污系数</w:t>
                  </w:r>
                </w:p>
              </w:tc>
              <w:tc>
                <w:tcPr>
                  <w:tcW w:w="998" w:type="dxa"/>
                  <w:tcBorders>
                    <w:tl2br w:val="nil"/>
                    <w:tr2bl w:val="nil"/>
                  </w:tcBorders>
                  <w:vAlign w:val="center"/>
                </w:tcPr>
                <w:p w14:paraId="25A937AC">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末端治理技术名称</w:t>
                  </w:r>
                </w:p>
              </w:tc>
              <w:tc>
                <w:tcPr>
                  <w:tcW w:w="741" w:type="dxa"/>
                  <w:tcBorders>
                    <w:tl2br w:val="nil"/>
                    <w:tr2bl w:val="nil"/>
                  </w:tcBorders>
                  <w:vAlign w:val="center"/>
                </w:tcPr>
                <w:p w14:paraId="09E433D4">
                  <w:pPr>
                    <w:pStyle w:val="42"/>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末端治理技术效率（%）</w:t>
                  </w:r>
                </w:p>
              </w:tc>
            </w:tr>
            <w:tr w14:paraId="7532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6" w:type="dxa"/>
                  <w:vMerge w:val="restart"/>
                  <w:tcBorders>
                    <w:tl2br w:val="nil"/>
                    <w:tr2bl w:val="nil"/>
                  </w:tcBorders>
                  <w:vAlign w:val="center"/>
                </w:tcPr>
                <w:p w14:paraId="4FDEE75A">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破碎</w:t>
                  </w:r>
                </w:p>
              </w:tc>
              <w:tc>
                <w:tcPr>
                  <w:tcW w:w="558" w:type="dxa"/>
                  <w:vMerge w:val="restart"/>
                  <w:tcBorders>
                    <w:tl2br w:val="nil"/>
                    <w:tr2bl w:val="nil"/>
                  </w:tcBorders>
                  <w:vAlign w:val="center"/>
                </w:tcPr>
                <w:p w14:paraId="61D5B1B3">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钙粉</w:t>
                  </w:r>
                </w:p>
              </w:tc>
              <w:tc>
                <w:tcPr>
                  <w:tcW w:w="525" w:type="dxa"/>
                  <w:vMerge w:val="restart"/>
                  <w:tcBorders>
                    <w:tl2br w:val="nil"/>
                    <w:tr2bl w:val="nil"/>
                  </w:tcBorders>
                  <w:vAlign w:val="center"/>
                </w:tcPr>
                <w:p w14:paraId="33EB142D">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氧化钙</w:t>
                  </w:r>
                </w:p>
              </w:tc>
              <w:tc>
                <w:tcPr>
                  <w:tcW w:w="662" w:type="dxa"/>
                  <w:vMerge w:val="restart"/>
                  <w:tcBorders>
                    <w:tl2br w:val="nil"/>
                    <w:tr2bl w:val="nil"/>
                  </w:tcBorders>
                  <w:vAlign w:val="center"/>
                </w:tcPr>
                <w:p w14:paraId="59B93947">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破碎</w:t>
                  </w:r>
                </w:p>
              </w:tc>
              <w:tc>
                <w:tcPr>
                  <w:tcW w:w="638" w:type="dxa"/>
                  <w:vMerge w:val="restart"/>
                  <w:tcBorders>
                    <w:tl2br w:val="nil"/>
                    <w:tr2bl w:val="nil"/>
                  </w:tcBorders>
                  <w:vAlign w:val="center"/>
                </w:tcPr>
                <w:p w14:paraId="1FCBC0DE">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所有规模</w:t>
                  </w:r>
                </w:p>
              </w:tc>
              <w:tc>
                <w:tcPr>
                  <w:tcW w:w="600" w:type="dxa"/>
                  <w:tcBorders>
                    <w:tl2br w:val="nil"/>
                    <w:tr2bl w:val="nil"/>
                  </w:tcBorders>
                  <w:vAlign w:val="center"/>
                </w:tcPr>
                <w:p w14:paraId="651E93C0">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废气</w:t>
                  </w:r>
                </w:p>
              </w:tc>
              <w:tc>
                <w:tcPr>
                  <w:tcW w:w="700" w:type="dxa"/>
                  <w:tcBorders>
                    <w:tl2br w:val="nil"/>
                    <w:tr2bl w:val="nil"/>
                  </w:tcBorders>
                  <w:vAlign w:val="center"/>
                </w:tcPr>
                <w:p w14:paraId="4994BCC9">
                  <w:pPr>
                    <w:pStyle w:val="42"/>
                    <w:jc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废气量</w:t>
                  </w:r>
                </w:p>
              </w:tc>
              <w:tc>
                <w:tcPr>
                  <w:tcW w:w="1067" w:type="dxa"/>
                  <w:tcBorders>
                    <w:tl2br w:val="nil"/>
                    <w:tr2bl w:val="nil"/>
                  </w:tcBorders>
                  <w:vAlign w:val="center"/>
                </w:tcPr>
                <w:p w14:paraId="67399AD6">
                  <w:pPr>
                    <w:pStyle w:val="42"/>
                    <w:jc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标立方米/</w:t>
                  </w:r>
                  <w:r>
                    <w:rPr>
                      <w:rFonts w:hint="eastAsia" w:ascii="Times New Roman" w:hAnsi="Times New Roman" w:eastAsia="宋体" w:cs="Times New Roman"/>
                      <w:b w:val="0"/>
                      <w:bCs w:val="0"/>
                      <w:color w:val="auto"/>
                      <w:sz w:val="21"/>
                      <w:szCs w:val="21"/>
                      <w:lang w:val="en-US" w:eastAsia="zh-CN"/>
                    </w:rPr>
                    <w:t>吨-产品</w:t>
                  </w:r>
                </w:p>
              </w:tc>
              <w:tc>
                <w:tcPr>
                  <w:tcW w:w="855" w:type="dxa"/>
                  <w:tcBorders>
                    <w:tl2br w:val="nil"/>
                    <w:tr2bl w:val="nil"/>
                  </w:tcBorders>
                  <w:vAlign w:val="center"/>
                </w:tcPr>
                <w:p w14:paraId="7588A8BF">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245</w:t>
                  </w:r>
                </w:p>
              </w:tc>
              <w:tc>
                <w:tcPr>
                  <w:tcW w:w="998" w:type="dxa"/>
                  <w:tcBorders>
                    <w:tl2br w:val="nil"/>
                    <w:tr2bl w:val="nil"/>
                  </w:tcBorders>
                  <w:vAlign w:val="center"/>
                </w:tcPr>
                <w:p w14:paraId="2661F7F3">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741" w:type="dxa"/>
                  <w:tcBorders>
                    <w:tl2br w:val="nil"/>
                    <w:tr2bl w:val="nil"/>
                  </w:tcBorders>
                  <w:vAlign w:val="center"/>
                </w:tcPr>
                <w:p w14:paraId="08567C1C">
                  <w:pPr>
                    <w:pStyle w:val="42"/>
                    <w:jc w:val="center"/>
                    <w:rPr>
                      <w:rFonts w:hint="eastAsia" w:ascii="Times New Roman" w:hAnsi="Times New Roman" w:eastAsia="宋体" w:cs="Times New Roman"/>
                      <w:b w:val="0"/>
                      <w:bCs w:val="0"/>
                      <w:color w:val="auto"/>
                      <w:sz w:val="21"/>
                      <w:szCs w:val="21"/>
                      <w:lang w:val="en-US" w:eastAsia="zh-CN"/>
                    </w:rPr>
                  </w:pPr>
                </w:p>
              </w:tc>
            </w:tr>
            <w:tr w14:paraId="7995A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6" w:type="dxa"/>
                  <w:vMerge w:val="continue"/>
                  <w:tcBorders>
                    <w:tl2br w:val="nil"/>
                    <w:tr2bl w:val="nil"/>
                  </w:tcBorders>
                  <w:vAlign w:val="center"/>
                </w:tcPr>
                <w:p w14:paraId="76120274">
                  <w:pPr>
                    <w:pStyle w:val="42"/>
                    <w:jc w:val="center"/>
                    <w:rPr>
                      <w:rFonts w:hint="default" w:ascii="Times New Roman" w:hAnsi="Times New Roman" w:eastAsia="宋体" w:cs="Times New Roman"/>
                      <w:b w:val="0"/>
                      <w:bCs w:val="0"/>
                      <w:color w:val="auto"/>
                      <w:sz w:val="21"/>
                      <w:szCs w:val="21"/>
                      <w:lang w:val="en-US" w:eastAsia="zh-CN"/>
                    </w:rPr>
                  </w:pPr>
                </w:p>
              </w:tc>
              <w:tc>
                <w:tcPr>
                  <w:tcW w:w="558" w:type="dxa"/>
                  <w:vMerge w:val="continue"/>
                  <w:tcBorders>
                    <w:tl2br w:val="nil"/>
                    <w:tr2bl w:val="nil"/>
                  </w:tcBorders>
                  <w:vAlign w:val="center"/>
                </w:tcPr>
                <w:p w14:paraId="4856E660">
                  <w:pPr>
                    <w:pStyle w:val="42"/>
                    <w:jc w:val="center"/>
                    <w:rPr>
                      <w:rFonts w:hint="eastAsia" w:ascii="Times New Roman" w:hAnsi="Times New Roman" w:eastAsia="宋体" w:cs="Times New Roman"/>
                      <w:b w:val="0"/>
                      <w:bCs w:val="0"/>
                      <w:color w:val="auto"/>
                      <w:sz w:val="21"/>
                      <w:szCs w:val="21"/>
                      <w:lang w:val="en-US" w:eastAsia="zh-CN"/>
                    </w:rPr>
                  </w:pPr>
                </w:p>
              </w:tc>
              <w:tc>
                <w:tcPr>
                  <w:tcW w:w="525" w:type="dxa"/>
                  <w:vMerge w:val="continue"/>
                  <w:tcBorders>
                    <w:tl2br w:val="nil"/>
                    <w:tr2bl w:val="nil"/>
                  </w:tcBorders>
                  <w:vAlign w:val="center"/>
                </w:tcPr>
                <w:p w14:paraId="3EEC105E">
                  <w:pPr>
                    <w:pStyle w:val="42"/>
                    <w:jc w:val="center"/>
                    <w:rPr>
                      <w:rFonts w:hint="eastAsia" w:ascii="Times New Roman" w:hAnsi="Times New Roman" w:eastAsia="宋体" w:cs="Times New Roman"/>
                      <w:b w:val="0"/>
                      <w:bCs w:val="0"/>
                      <w:color w:val="auto"/>
                      <w:sz w:val="21"/>
                      <w:szCs w:val="21"/>
                      <w:lang w:val="en-US" w:eastAsia="zh-CN"/>
                    </w:rPr>
                  </w:pPr>
                </w:p>
              </w:tc>
              <w:tc>
                <w:tcPr>
                  <w:tcW w:w="662" w:type="dxa"/>
                  <w:vMerge w:val="continue"/>
                  <w:tcBorders>
                    <w:tl2br w:val="nil"/>
                    <w:tr2bl w:val="nil"/>
                  </w:tcBorders>
                  <w:vAlign w:val="center"/>
                </w:tcPr>
                <w:p w14:paraId="067DA7A0">
                  <w:pPr>
                    <w:pStyle w:val="42"/>
                    <w:jc w:val="center"/>
                    <w:rPr>
                      <w:rFonts w:hint="eastAsia" w:ascii="Times New Roman" w:hAnsi="Times New Roman" w:eastAsia="宋体" w:cs="Times New Roman"/>
                      <w:b w:val="0"/>
                      <w:bCs w:val="0"/>
                      <w:color w:val="auto"/>
                      <w:sz w:val="21"/>
                      <w:szCs w:val="21"/>
                      <w:lang w:val="en-US" w:eastAsia="zh-CN"/>
                    </w:rPr>
                  </w:pPr>
                </w:p>
              </w:tc>
              <w:tc>
                <w:tcPr>
                  <w:tcW w:w="638" w:type="dxa"/>
                  <w:vMerge w:val="continue"/>
                  <w:tcBorders>
                    <w:tl2br w:val="nil"/>
                    <w:tr2bl w:val="nil"/>
                  </w:tcBorders>
                  <w:vAlign w:val="center"/>
                </w:tcPr>
                <w:p w14:paraId="6F163621">
                  <w:pPr>
                    <w:pStyle w:val="42"/>
                    <w:jc w:val="center"/>
                    <w:rPr>
                      <w:rFonts w:hint="eastAsia" w:ascii="Times New Roman" w:hAnsi="Times New Roman" w:eastAsia="宋体" w:cs="Times New Roman"/>
                      <w:b w:val="0"/>
                      <w:bCs w:val="0"/>
                      <w:color w:val="auto"/>
                      <w:sz w:val="21"/>
                      <w:szCs w:val="21"/>
                      <w:lang w:val="en-US" w:eastAsia="zh-CN"/>
                    </w:rPr>
                  </w:pPr>
                </w:p>
              </w:tc>
              <w:tc>
                <w:tcPr>
                  <w:tcW w:w="600" w:type="dxa"/>
                  <w:tcBorders>
                    <w:tl2br w:val="nil"/>
                    <w:tr2bl w:val="nil"/>
                  </w:tcBorders>
                  <w:vAlign w:val="center"/>
                </w:tcPr>
                <w:p w14:paraId="65148ADB">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废气</w:t>
                  </w:r>
                </w:p>
              </w:tc>
              <w:tc>
                <w:tcPr>
                  <w:tcW w:w="700" w:type="dxa"/>
                  <w:tcBorders>
                    <w:tl2br w:val="nil"/>
                    <w:tr2bl w:val="nil"/>
                  </w:tcBorders>
                  <w:vAlign w:val="center"/>
                </w:tcPr>
                <w:p w14:paraId="404CC256">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颗粒物</w:t>
                  </w:r>
                </w:p>
              </w:tc>
              <w:tc>
                <w:tcPr>
                  <w:tcW w:w="1067" w:type="dxa"/>
                  <w:tcBorders>
                    <w:tl2br w:val="nil"/>
                    <w:tr2bl w:val="nil"/>
                  </w:tcBorders>
                  <w:vAlign w:val="center"/>
                </w:tcPr>
                <w:p w14:paraId="13DC38F6">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kg/吨-产品</w:t>
                  </w:r>
                </w:p>
              </w:tc>
              <w:tc>
                <w:tcPr>
                  <w:tcW w:w="855" w:type="dxa"/>
                  <w:tcBorders>
                    <w:tl2br w:val="nil"/>
                    <w:tr2bl w:val="nil"/>
                  </w:tcBorders>
                  <w:vAlign w:val="center"/>
                </w:tcPr>
                <w:p w14:paraId="1073FDB5">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1.13</w:t>
                  </w:r>
                </w:p>
              </w:tc>
              <w:tc>
                <w:tcPr>
                  <w:tcW w:w="998" w:type="dxa"/>
                  <w:tcBorders>
                    <w:tl2br w:val="nil"/>
                    <w:tr2bl w:val="nil"/>
                  </w:tcBorders>
                  <w:vAlign w:val="center"/>
                </w:tcPr>
                <w:p w14:paraId="26545888">
                  <w:pPr>
                    <w:pStyle w:val="42"/>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袋式除尘</w:t>
                  </w:r>
                </w:p>
              </w:tc>
              <w:tc>
                <w:tcPr>
                  <w:tcW w:w="741" w:type="dxa"/>
                  <w:tcBorders>
                    <w:tl2br w:val="nil"/>
                    <w:tr2bl w:val="nil"/>
                  </w:tcBorders>
                  <w:vAlign w:val="center"/>
                </w:tcPr>
                <w:p w14:paraId="6AA9BC4C">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99</w:t>
                  </w:r>
                </w:p>
              </w:tc>
            </w:tr>
          </w:tbl>
          <w:p w14:paraId="21A988FD">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源强核算</w:t>
            </w:r>
          </w:p>
          <w:p w14:paraId="2702201C">
            <w:pPr>
              <w:spacing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1）无组织粉尘</w:t>
            </w:r>
          </w:p>
          <w:p w14:paraId="1CC8092E">
            <w:pPr>
              <w:spacing w:line="360" w:lineRule="auto"/>
              <w:ind w:firstLine="480" w:firstLineChars="200"/>
              <w:jc w:val="both"/>
              <w:rPr>
                <w:rFonts w:ascii="Times New Roman" w:hAnsi="Times New Roman" w:cs="Times New Roman"/>
                <w:color w:val="auto"/>
                <w:sz w:val="24"/>
                <w:lang w:eastAsia="zh-CN"/>
              </w:rPr>
            </w:pPr>
            <w:r>
              <w:rPr>
                <w:rFonts w:ascii="Times New Roman" w:hAnsi="Times New Roman" w:eastAsia="宋体" w:cs="Times New Roman"/>
                <w:color w:val="auto"/>
                <w:sz w:val="24"/>
                <w:lang w:eastAsia="zh-CN"/>
              </w:rPr>
              <w:t>①</w:t>
            </w:r>
            <w:r>
              <w:rPr>
                <w:rFonts w:hint="eastAsia" w:ascii="Times New Roman" w:hAnsi="Times New Roman" w:eastAsia="宋体" w:cs="Times New Roman"/>
                <w:color w:val="auto"/>
                <w:sz w:val="24"/>
                <w:lang w:val="en-US" w:eastAsia="zh-CN"/>
              </w:rPr>
              <w:t>装卸</w:t>
            </w:r>
            <w:r>
              <w:rPr>
                <w:rFonts w:ascii="Times New Roman" w:hAnsi="Times New Roman" w:cs="Times New Roman"/>
                <w:color w:val="auto"/>
                <w:sz w:val="24"/>
                <w:lang w:eastAsia="zh-CN"/>
              </w:rPr>
              <w:t>粉尘</w:t>
            </w:r>
          </w:p>
          <w:p w14:paraId="1E8484B6">
            <w:pPr>
              <w:spacing w:line="360" w:lineRule="auto"/>
              <w:ind w:firstLine="480" w:firstLineChars="200"/>
              <w:jc w:val="both"/>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参照《</w:t>
            </w:r>
            <w:r>
              <w:rPr>
                <w:rFonts w:hint="eastAsia" w:ascii="Times New Roman" w:hAnsi="Times New Roman" w:cs="Times New Roman"/>
                <w:color w:val="auto"/>
                <w:sz w:val="24"/>
                <w:lang w:val="en-US" w:eastAsia="zh-CN"/>
              </w:rPr>
              <w:fldChar w:fldCharType="begin"/>
            </w:r>
            <w:r>
              <w:rPr>
                <w:rFonts w:hint="eastAsia" w:ascii="Times New Roman" w:hAnsi="Times New Roman" w:cs="Times New Roman"/>
                <w:color w:val="auto"/>
                <w:sz w:val="24"/>
                <w:lang w:val="en-US" w:eastAsia="zh-CN"/>
              </w:rPr>
              <w:instrText xml:space="preserve"> HYPERLINK "https://www.eiacloud.com/hpyzs/lawsRegulations/searchDetail?id=0cbca7d55bfc483e916c6b78307cd6d7&amp;modelName=%E9%A6%96%E9%A1%B5" \t "https://www.eiacloud.com/hpyzs/lawsRegulations/_blank" </w:instrText>
            </w:r>
            <w:r>
              <w:rPr>
                <w:rFonts w:hint="eastAsia" w:ascii="Times New Roman" w:hAnsi="Times New Roman" w:cs="Times New Roman"/>
                <w:color w:val="auto"/>
                <w:sz w:val="24"/>
                <w:lang w:val="en-US" w:eastAsia="zh-CN"/>
              </w:rPr>
              <w:fldChar w:fldCharType="separate"/>
            </w:r>
            <w:r>
              <w:rPr>
                <w:rFonts w:hint="eastAsia" w:ascii="Times New Roman" w:hAnsi="Times New Roman" w:cs="Times New Roman"/>
                <w:color w:val="auto"/>
                <w:sz w:val="24"/>
                <w:lang w:val="en-US" w:eastAsia="zh-CN"/>
              </w:rPr>
              <w:t>排放源统计调查产排污核算方法和系数手册</w:t>
            </w:r>
            <w:r>
              <w:rPr>
                <w:rFonts w:hint="eastAsia" w:ascii="Times New Roman" w:hAnsi="Times New Roman" w:cs="Times New Roman"/>
                <w:color w:val="auto"/>
                <w:sz w:val="24"/>
                <w:lang w:val="en-US" w:eastAsia="zh-CN"/>
              </w:rPr>
              <w:fldChar w:fldCharType="end"/>
            </w:r>
            <w:r>
              <w:rPr>
                <w:rFonts w:hint="eastAsia" w:ascii="Times New Roman" w:hAnsi="Times New Roman" w:cs="Times New Roman"/>
                <w:color w:val="auto"/>
                <w:sz w:val="24"/>
                <w:lang w:val="en-US" w:eastAsia="zh-CN"/>
              </w:rPr>
              <w:t>》（公告2021年第24号）中《附1工业源-附表2 工业源固体物料堆场颗粒物核算系数手册》推荐公式计算：</w:t>
            </w:r>
          </w:p>
          <w:p w14:paraId="0EC87C33">
            <w:pPr>
              <w:spacing w:line="360" w:lineRule="auto"/>
              <w:ind w:firstLine="480" w:firstLineChars="200"/>
              <w:jc w:val="both"/>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P=ZGy+FGy={Nc×D×（a/b）+2×Ef×S}×10</w:t>
            </w:r>
            <w:r>
              <w:rPr>
                <w:rFonts w:hint="eastAsia" w:ascii="Times New Roman" w:hAnsi="Times New Roman" w:cs="Times New Roman"/>
                <w:color w:val="auto"/>
                <w:sz w:val="24"/>
                <w:vertAlign w:val="superscript"/>
                <w:lang w:val="en-US" w:eastAsia="zh-CN"/>
              </w:rPr>
              <w:t>-3</w:t>
            </w:r>
          </w:p>
          <w:p w14:paraId="5CCB65F1">
            <w:pPr>
              <w:spacing w:line="360" w:lineRule="auto"/>
              <w:ind w:firstLine="480" w:firstLineChars="200"/>
              <w:jc w:val="both"/>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式中：</w:t>
            </w:r>
            <w:r>
              <w:rPr>
                <w:rFonts w:hint="default" w:ascii="Times New Roman" w:hAnsi="Times New Roman" w:cs="Times New Roman"/>
                <w:color w:val="auto"/>
                <w:sz w:val="24"/>
                <w:lang w:val="en-US" w:eastAsia="zh-CN"/>
              </w:rPr>
              <w:t>P 指颗粒物产生量（单位：吨）；</w:t>
            </w:r>
          </w:p>
          <w:p w14:paraId="25011681">
            <w:pPr>
              <w:spacing w:line="360" w:lineRule="auto"/>
              <w:ind w:firstLine="480" w:firstLineChars="200"/>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 ZCy指装卸扬尘产生量（单位：吨）；</w:t>
            </w:r>
          </w:p>
          <w:p w14:paraId="1109EFDB">
            <w:pPr>
              <w:spacing w:line="360" w:lineRule="auto"/>
              <w:ind w:firstLine="480" w:firstLineChars="200"/>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 FCy指风蚀扬尘产生量（单位：吨）；</w:t>
            </w:r>
          </w:p>
          <w:p w14:paraId="7C7392BF">
            <w:pPr>
              <w:spacing w:line="360" w:lineRule="auto"/>
              <w:ind w:firstLine="480" w:firstLineChars="200"/>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 Nc指年物料运载车次（单位：车）；</w:t>
            </w:r>
          </w:p>
          <w:p w14:paraId="676EE038">
            <w:pPr>
              <w:spacing w:line="360" w:lineRule="auto"/>
              <w:ind w:firstLine="480" w:firstLineChars="200"/>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D指单车平均运载量（单位：吨/车）；</w:t>
            </w:r>
          </w:p>
          <w:p w14:paraId="4691855B">
            <w:pPr>
              <w:spacing w:line="360" w:lineRule="auto"/>
              <w:ind w:firstLine="480" w:firstLineChars="200"/>
              <w:jc w:val="both"/>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（a/b）</w:t>
            </w:r>
            <w:r>
              <w:rPr>
                <w:rFonts w:hint="default" w:ascii="Times New Roman" w:hAnsi="Times New Roman" w:cs="Times New Roman"/>
                <w:color w:val="auto"/>
                <w:sz w:val="24"/>
                <w:lang w:val="en-US" w:eastAsia="zh-CN"/>
              </w:rPr>
              <w:t>指装卸扬尘概化系数（单位：千克/吨），a 指</w:t>
            </w:r>
            <w:r>
              <w:rPr>
                <w:rFonts w:hint="eastAsia" w:ascii="Times New Roman" w:hAnsi="Times New Roman" w:cs="Times New Roman"/>
                <w:color w:val="auto"/>
                <w:sz w:val="24"/>
                <w:lang w:val="en-US" w:eastAsia="zh-CN"/>
              </w:rPr>
              <w:t>山西省</w:t>
            </w:r>
            <w:r>
              <w:rPr>
                <w:rFonts w:hint="default" w:ascii="Times New Roman" w:hAnsi="Times New Roman" w:cs="Times New Roman"/>
                <w:color w:val="auto"/>
                <w:sz w:val="24"/>
                <w:lang w:val="en-US" w:eastAsia="zh-CN"/>
              </w:rPr>
              <w:t>风速概化系数</w:t>
            </w:r>
            <w:r>
              <w:rPr>
                <w:rFonts w:hint="eastAsia" w:ascii="Times New Roman" w:hAnsi="Times New Roman" w:cs="Times New Roman"/>
                <w:color w:val="auto"/>
                <w:sz w:val="24"/>
                <w:lang w:val="en-US" w:eastAsia="zh-CN"/>
              </w:rPr>
              <w:t>取0.001</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取</w:t>
            </w:r>
            <w:r>
              <w:rPr>
                <w:rFonts w:hint="default" w:ascii="Times New Roman" w:hAnsi="Times New Roman" w:cs="Times New Roman"/>
                <w:color w:val="auto"/>
                <w:sz w:val="24"/>
                <w:lang w:val="en-US" w:eastAsia="zh-CN"/>
              </w:rPr>
              <w:t>，b指物料含水率概化系数</w:t>
            </w:r>
            <w:r>
              <w:rPr>
                <w:rFonts w:hint="eastAsia" w:ascii="Times New Roman" w:hAnsi="Times New Roman" w:cs="Times New Roman"/>
                <w:color w:val="auto"/>
                <w:sz w:val="24"/>
                <w:lang w:val="en-US" w:eastAsia="zh-CN"/>
              </w:rPr>
              <w:t>取0.0017</w:t>
            </w:r>
            <w:r>
              <w:rPr>
                <w:rFonts w:hint="default" w:ascii="Times New Roman" w:hAnsi="Times New Roman" w:cs="Times New Roman"/>
                <w:color w:val="auto"/>
                <w:sz w:val="24"/>
                <w:lang w:val="en-US" w:eastAsia="zh-CN"/>
              </w:rPr>
              <w:t>；</w:t>
            </w:r>
          </w:p>
          <w:p w14:paraId="71F155F0">
            <w:pPr>
              <w:spacing w:line="360" w:lineRule="auto"/>
              <w:ind w:firstLine="480" w:firstLineChars="200"/>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Ef指堆场风蚀扬尘概化系数，</w:t>
            </w:r>
            <w:r>
              <w:rPr>
                <w:rFonts w:hint="eastAsia" w:ascii="Times New Roman" w:hAnsi="Times New Roman" w:cs="Times New Roman"/>
                <w:color w:val="auto"/>
                <w:sz w:val="24"/>
                <w:lang w:val="en-US" w:eastAsia="zh-CN"/>
              </w:rPr>
              <w:t>取3.6062</w:t>
            </w:r>
            <w:r>
              <w:rPr>
                <w:rFonts w:hint="default" w:ascii="Times New Roman" w:hAnsi="Times New Roman" w:cs="Times New Roman"/>
                <w:color w:val="auto"/>
                <w:sz w:val="24"/>
                <w:lang w:val="en-US" w:eastAsia="zh-CN"/>
              </w:rPr>
              <w:t xml:space="preserve">（单位：千克/平方米）； </w:t>
            </w:r>
          </w:p>
          <w:p w14:paraId="33941178">
            <w:pPr>
              <w:spacing w:line="360" w:lineRule="auto"/>
              <w:ind w:firstLine="480" w:firstLineChars="200"/>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S 指堆场占地面积</w:t>
            </w:r>
            <w:r>
              <w:rPr>
                <w:rFonts w:hint="eastAsia" w:ascii="Times New Roman" w:hAnsi="Times New Roman" w:cs="Times New Roman"/>
                <w:color w:val="auto"/>
                <w:sz w:val="24"/>
                <w:lang w:val="en-US" w:eastAsia="zh-CN"/>
              </w:rPr>
              <w:t>，取400</w:t>
            </w:r>
            <w:r>
              <w:rPr>
                <w:rFonts w:hint="default" w:ascii="Times New Roman" w:hAnsi="Times New Roman" w:cs="Times New Roman"/>
                <w:color w:val="auto"/>
                <w:sz w:val="24"/>
                <w:lang w:val="en-US" w:eastAsia="zh-CN"/>
              </w:rPr>
              <w:t>（单位：平方米）</w:t>
            </w:r>
          </w:p>
          <w:p w14:paraId="1E3CA84F">
            <w:pPr>
              <w:spacing w:line="360" w:lineRule="auto"/>
              <w:ind w:firstLine="480" w:firstLineChars="200"/>
              <w:jc w:val="both"/>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则产生量计算为：（50000t/a×0.001/0.0017+2×3.6062×400）/1000=32.3t/a。</w:t>
            </w:r>
          </w:p>
          <w:p w14:paraId="7D1A434D">
            <w:pPr>
              <w:spacing w:line="360" w:lineRule="auto"/>
              <w:ind w:firstLine="480" w:firstLineChars="200"/>
              <w:jc w:val="both"/>
              <w:rPr>
                <w:rFonts w:ascii="Times New Roman" w:hAnsi="Times New Roman" w:cs="Times New Roman"/>
                <w:color w:val="auto"/>
                <w:sz w:val="24"/>
                <w:lang w:eastAsia="zh-CN"/>
              </w:rPr>
            </w:pPr>
            <w:r>
              <w:rPr>
                <w:rFonts w:hint="eastAsia" w:ascii="Times New Roman" w:hAnsi="Times New Roman" w:cs="Times New Roman"/>
                <w:color w:val="auto"/>
                <w:sz w:val="24"/>
                <w:lang w:eastAsia="zh-CN"/>
              </w:rPr>
              <w:t>本项目原料</w:t>
            </w:r>
            <w:r>
              <w:rPr>
                <w:rFonts w:hint="eastAsia" w:ascii="Times New Roman" w:hAnsi="Times New Roman" w:cs="Times New Roman"/>
                <w:color w:val="auto"/>
                <w:sz w:val="24"/>
                <w:lang w:val="en-US" w:eastAsia="zh-CN"/>
              </w:rPr>
              <w:t>区</w:t>
            </w:r>
            <w:r>
              <w:rPr>
                <w:rFonts w:ascii="Times New Roman" w:hAnsi="Times New Roman" w:cs="Times New Roman"/>
                <w:color w:val="auto"/>
                <w:sz w:val="24"/>
                <w:lang w:eastAsia="zh-CN"/>
              </w:rPr>
              <w:t>全封闭，</w:t>
            </w:r>
            <w:r>
              <w:rPr>
                <w:rFonts w:hint="eastAsia" w:ascii="Times New Roman" w:hAnsi="Times New Roman" w:cs="Times New Roman"/>
                <w:color w:val="auto"/>
                <w:sz w:val="24"/>
                <w:lang w:eastAsia="zh-CN"/>
              </w:rPr>
              <w:t>参照《工业源固体物料堆场颗粒物核算系数手册》附录5，密闭式堆场控制效率为99%，</w:t>
            </w:r>
            <w:r>
              <w:rPr>
                <w:rFonts w:ascii="Times New Roman" w:hAnsi="Times New Roman" w:cs="Times New Roman"/>
                <w:color w:val="auto"/>
                <w:sz w:val="24"/>
                <w:lang w:eastAsia="zh-CN"/>
              </w:rPr>
              <w:t>则</w:t>
            </w:r>
            <w:r>
              <w:rPr>
                <w:rFonts w:hint="eastAsia" w:ascii="Times New Roman" w:hAnsi="Times New Roman" w:cs="Times New Roman"/>
                <w:color w:val="auto"/>
                <w:sz w:val="24"/>
                <w:lang w:eastAsia="zh-CN"/>
              </w:rPr>
              <w:t>无组织</w:t>
            </w:r>
            <w:r>
              <w:rPr>
                <w:rFonts w:ascii="Times New Roman" w:hAnsi="Times New Roman" w:cs="Times New Roman"/>
                <w:color w:val="auto"/>
                <w:sz w:val="24"/>
                <w:lang w:eastAsia="zh-CN"/>
              </w:rPr>
              <w:t>粉尘排放量</w:t>
            </w:r>
            <w:r>
              <w:rPr>
                <w:rFonts w:hint="eastAsia" w:ascii="Times New Roman" w:hAnsi="Times New Roman" w:eastAsia="宋体" w:cs="Times New Roman"/>
                <w:color w:val="auto"/>
                <w:sz w:val="24"/>
                <w:lang w:val="en-US" w:eastAsia="zh-CN"/>
              </w:rPr>
              <w:t>0.323</w:t>
            </w:r>
            <w:r>
              <w:rPr>
                <w:rFonts w:ascii="Times New Roman" w:hAnsi="Times New Roman" w:cs="Times New Roman"/>
                <w:color w:val="auto"/>
                <w:sz w:val="24"/>
                <w:lang w:eastAsia="zh-CN"/>
              </w:rPr>
              <w:t>t/a。</w:t>
            </w:r>
          </w:p>
          <w:p w14:paraId="4F55CA36">
            <w:pPr>
              <w:spacing w:line="360" w:lineRule="auto"/>
              <w:ind w:firstLine="480" w:firstLineChars="200"/>
              <w:jc w:val="both"/>
              <w:rPr>
                <w:rFonts w:ascii="Times New Roman" w:hAnsi="Times New Roman" w:cs="Times New Roman"/>
                <w:color w:val="auto"/>
                <w:sz w:val="24"/>
                <w:lang w:eastAsia="zh-CN"/>
              </w:rPr>
            </w:pPr>
            <w:r>
              <w:rPr>
                <w:rFonts w:hint="eastAsia" w:ascii="Times New Roman" w:hAnsi="Times New Roman" w:eastAsia="宋体" w:cs="Times New Roman"/>
                <w:color w:val="auto"/>
                <w:sz w:val="24"/>
                <w:lang w:val="en-US" w:eastAsia="zh-CN"/>
              </w:rPr>
              <w:t>②输送</w:t>
            </w:r>
            <w:r>
              <w:rPr>
                <w:rFonts w:ascii="Times New Roman" w:hAnsi="Times New Roman" w:cs="Times New Roman"/>
                <w:color w:val="auto"/>
                <w:sz w:val="24"/>
                <w:lang w:eastAsia="zh-CN"/>
              </w:rPr>
              <w:t>粉尘</w:t>
            </w:r>
          </w:p>
          <w:p w14:paraId="40672C9C">
            <w:pPr>
              <w:spacing w:line="360" w:lineRule="auto"/>
              <w:ind w:firstLine="480" w:firstLineChars="200"/>
              <w:jc w:val="both"/>
              <w:rPr>
                <w:rFonts w:ascii="Times New Roman" w:hAnsi="Times New Roman" w:cs="Times New Roman"/>
                <w:sz w:val="24"/>
                <w:lang w:eastAsia="zh-CN"/>
              </w:rPr>
            </w:pPr>
            <w:r>
              <w:rPr>
                <w:rFonts w:hint="eastAsia" w:ascii="Times New Roman" w:hAnsi="Times New Roman" w:cs="Times New Roman"/>
                <w:color w:val="auto"/>
                <w:sz w:val="24"/>
                <w:lang w:val="en-US" w:eastAsia="zh-CN"/>
              </w:rPr>
              <w:t>本项目在输送时会产生一定粉尘，参照《逸散性工业粉尘控制技术》中第十八章粒料加工厂生产过程中的逸散尘排放因子</w:t>
            </w:r>
            <w:r>
              <w:rPr>
                <w:rFonts w:hint="eastAsia" w:ascii="Times New Roman" w:hAnsi="Times New Roman" w:cs="Times New Roman"/>
                <w:color w:val="auto"/>
                <w:sz w:val="24"/>
                <w:lang w:eastAsia="zh-CN"/>
              </w:rPr>
              <w:t>，产污系数为</w:t>
            </w:r>
            <w:r>
              <w:rPr>
                <w:rFonts w:hint="eastAsia" w:ascii="Times New Roman" w:hAnsi="Times New Roman" w:cs="Times New Roman"/>
                <w:color w:val="auto"/>
                <w:sz w:val="24"/>
                <w:lang w:val="en-US" w:eastAsia="zh-CN"/>
              </w:rPr>
              <w:t>0.15</w:t>
            </w:r>
            <w:r>
              <w:rPr>
                <w:rFonts w:hint="eastAsia" w:ascii="Times New Roman" w:hAnsi="Times New Roman" w:cs="Times New Roman"/>
                <w:color w:val="auto"/>
                <w:sz w:val="24"/>
                <w:lang w:eastAsia="zh-CN"/>
              </w:rPr>
              <w:t>kg/t，本项目</w:t>
            </w:r>
            <w:r>
              <w:rPr>
                <w:rFonts w:hint="eastAsia" w:ascii="Times New Roman" w:hAnsi="Times New Roman" w:cs="Times New Roman"/>
                <w:color w:val="auto"/>
                <w:sz w:val="24"/>
                <w:lang w:val="en-US" w:eastAsia="zh-CN"/>
              </w:rPr>
              <w:t>输送量</w:t>
            </w:r>
            <w:r>
              <w:rPr>
                <w:rFonts w:hint="eastAsia" w:ascii="Times New Roman" w:hAnsi="Times New Roman" w:cs="Times New Roman"/>
                <w:color w:val="auto"/>
                <w:sz w:val="24"/>
                <w:lang w:eastAsia="zh-CN"/>
              </w:rPr>
              <w:t>约</w:t>
            </w:r>
            <w:r>
              <w:rPr>
                <w:rFonts w:hint="eastAsia" w:ascii="Times New Roman" w:hAnsi="Times New Roman" w:cs="Times New Roman"/>
                <w:color w:val="auto"/>
                <w:sz w:val="24"/>
                <w:lang w:val="en-US" w:eastAsia="zh-CN"/>
              </w:rPr>
              <w:t>5万</w:t>
            </w:r>
            <w:r>
              <w:rPr>
                <w:rFonts w:hint="eastAsia" w:ascii="Times New Roman" w:hAnsi="Times New Roman" w:cs="Times New Roman"/>
                <w:color w:val="auto"/>
                <w:sz w:val="24"/>
                <w:lang w:eastAsia="zh-CN"/>
              </w:rPr>
              <w:t>t/a，</w:t>
            </w:r>
            <w:r>
              <w:rPr>
                <w:rFonts w:hint="eastAsia" w:ascii="Times New Roman" w:hAnsi="Times New Roman" w:cs="Times New Roman"/>
                <w:color w:val="auto"/>
                <w:sz w:val="24"/>
                <w:lang w:val="en-US" w:eastAsia="zh-CN"/>
              </w:rPr>
              <w:t>则</w:t>
            </w:r>
            <w:r>
              <w:rPr>
                <w:rFonts w:ascii="Times New Roman" w:hAnsi="Times New Roman" w:cs="Times New Roman"/>
                <w:color w:val="auto"/>
                <w:sz w:val="24"/>
                <w:lang w:eastAsia="zh-CN"/>
              </w:rPr>
              <w:t>粉尘产生量为</w:t>
            </w:r>
            <w:r>
              <w:rPr>
                <w:rFonts w:hint="eastAsia" w:ascii="Times New Roman" w:hAnsi="Times New Roman" w:eastAsia="宋体" w:cs="Times New Roman"/>
                <w:color w:val="auto"/>
                <w:sz w:val="24"/>
                <w:lang w:val="en-US" w:eastAsia="zh-CN"/>
              </w:rPr>
              <w:t>7.5</w:t>
            </w:r>
            <w:r>
              <w:rPr>
                <w:rFonts w:ascii="Times New Roman" w:hAnsi="Times New Roman" w:cs="Times New Roman"/>
                <w:color w:val="auto"/>
                <w:sz w:val="24"/>
                <w:lang w:eastAsia="zh-CN"/>
              </w:rPr>
              <w:t>t/a，</w:t>
            </w:r>
            <w:r>
              <w:rPr>
                <w:rFonts w:hint="eastAsia" w:ascii="Times New Roman" w:hAnsi="Times New Roman" w:cs="Times New Roman"/>
                <w:color w:val="auto"/>
                <w:sz w:val="24"/>
                <w:lang w:eastAsia="zh-CN"/>
              </w:rPr>
              <w:t>本项目</w:t>
            </w:r>
            <w:r>
              <w:rPr>
                <w:rFonts w:hint="eastAsia" w:ascii="Times New Roman" w:hAnsi="Times New Roman" w:cs="Times New Roman"/>
                <w:color w:val="auto"/>
                <w:sz w:val="24"/>
                <w:lang w:val="en-US" w:eastAsia="zh-CN"/>
              </w:rPr>
              <w:t>输送皮带全封闭，生产车间</w:t>
            </w:r>
            <w:r>
              <w:rPr>
                <w:rFonts w:ascii="Times New Roman" w:hAnsi="Times New Roman" w:cs="Times New Roman"/>
                <w:color w:val="auto"/>
                <w:sz w:val="24"/>
                <w:lang w:eastAsia="zh-CN"/>
              </w:rPr>
              <w:t>全封闭，</w:t>
            </w:r>
            <w:r>
              <w:rPr>
                <w:rFonts w:hint="eastAsia" w:ascii="Times New Roman" w:hAnsi="Times New Roman" w:cs="Times New Roman"/>
                <w:sz w:val="24"/>
                <w:lang w:val="en-US" w:eastAsia="zh-CN"/>
              </w:rPr>
              <w:t>抑尘效率以99%计，则最终无组织排放量为0.08t/a</w:t>
            </w:r>
            <w:r>
              <w:rPr>
                <w:rFonts w:ascii="Times New Roman" w:hAnsi="Times New Roman" w:cs="Times New Roman"/>
                <w:sz w:val="24"/>
                <w:lang w:eastAsia="zh-CN"/>
              </w:rPr>
              <w:t>。</w:t>
            </w:r>
          </w:p>
          <w:p w14:paraId="7A8000DF">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有</w:t>
            </w:r>
            <w:r>
              <w:rPr>
                <w:rFonts w:ascii="Times New Roman" w:hAnsi="Times New Roman" w:eastAsia="宋体" w:cs="Times New Roman"/>
                <w:color w:val="auto"/>
                <w:sz w:val="24"/>
                <w:szCs w:val="24"/>
                <w:lang w:eastAsia="zh-CN"/>
              </w:rPr>
              <w:t>组织粉尘</w:t>
            </w:r>
          </w:p>
          <w:p w14:paraId="78D17A6D">
            <w:pPr>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①破碎粉尘</w:t>
            </w:r>
          </w:p>
          <w:p w14:paraId="42B4A3F3">
            <w:pPr>
              <w:numPr>
                <w:ilvl w:val="0"/>
                <w:numId w:val="0"/>
              </w:numPr>
              <w:spacing w:line="360" w:lineRule="auto"/>
              <w:ind w:firstLine="480" w:firstLineChars="200"/>
              <w:jc w:val="both"/>
              <w:rPr>
                <w:rFonts w:hint="eastAsia" w:ascii="Times New Roman" w:hAnsi="Times New Roman" w:cs="Times New Roman"/>
                <w:color w:val="auto"/>
                <w:sz w:val="24"/>
                <w:lang w:val="en-US" w:eastAsia="zh-CN"/>
              </w:rPr>
            </w:pPr>
            <w:r>
              <w:rPr>
                <w:rFonts w:hint="eastAsia"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lang w:eastAsia="zh-CN"/>
              </w:rPr>
              <w:t>《排放源统计调查产排污核算方法和系数手册》</w:t>
            </w:r>
            <w:r>
              <w:rPr>
                <w:rFonts w:hint="eastAsia" w:ascii="Times New Roman" w:hAnsi="Times New Roman" w:eastAsia="宋体" w:cs="Times New Roman"/>
                <w:color w:val="auto"/>
                <w:sz w:val="24"/>
                <w:szCs w:val="24"/>
                <w:lang w:val="en-US" w:eastAsia="zh-CN"/>
              </w:rPr>
              <w:t>中《3099其他非金属矿物制品制造行业系数手册》</w:t>
            </w:r>
            <w:r>
              <w:rPr>
                <w:rFonts w:hint="eastAsia" w:ascii="Times New Roman" w:hAnsi="Times New Roman" w:eastAsia="宋体" w:cs="Times New Roman"/>
                <w:color w:val="auto"/>
                <w:sz w:val="24"/>
                <w:szCs w:val="24"/>
                <w:highlight w:val="none"/>
                <w:lang w:val="en-US" w:eastAsia="zh-CN"/>
              </w:rPr>
              <w:t>中破碎产污系数为1.13kg/t-产品，</w:t>
            </w:r>
            <w:r>
              <w:rPr>
                <w:rFonts w:hint="eastAsia" w:ascii="Times New Roman" w:hAnsi="Times New Roman" w:cs="Times New Roman"/>
                <w:color w:val="auto"/>
                <w:sz w:val="24"/>
                <w:lang w:val="en-US" w:eastAsia="zh-CN"/>
              </w:rPr>
              <w:t>上料破碎粉尘产生量为5万t/a×1.13kg/t=56.5t/a。</w:t>
            </w:r>
          </w:p>
          <w:p w14:paraId="6DE987F6">
            <w:pPr>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②筒仓粉尘</w:t>
            </w:r>
          </w:p>
          <w:p w14:paraId="7EBD300F">
            <w:pPr>
              <w:numPr>
                <w:ilvl w:val="0"/>
                <w:numId w:val="0"/>
              </w:numPr>
              <w:spacing w:line="360" w:lineRule="auto"/>
              <w:ind w:firstLine="480" w:firstLineChars="200"/>
              <w:jc w:val="both"/>
              <w:rPr>
                <w:rFonts w:hint="eastAsia" w:ascii="Times New Roman" w:hAnsi="Times New Roman" w:cs="Times New Roman"/>
                <w:color w:val="auto"/>
                <w:sz w:val="24"/>
                <w:lang w:val="en-US" w:eastAsia="zh-CN"/>
              </w:rPr>
            </w:pPr>
            <w:r>
              <w:rPr>
                <w:rFonts w:hint="eastAsia" w:ascii="Times New Roman" w:hAnsi="Times New Roman" w:eastAsia="宋体" w:cs="Times New Roman"/>
                <w:color w:val="auto"/>
                <w:sz w:val="24"/>
                <w:szCs w:val="24"/>
                <w:highlight w:val="none"/>
                <w:lang w:val="en-US" w:eastAsia="zh-CN"/>
              </w:rPr>
              <w:t>参照</w:t>
            </w:r>
            <w:r>
              <w:rPr>
                <w:rFonts w:hint="eastAsia" w:ascii="Times New Roman" w:hAnsi="Times New Roman" w:eastAsia="宋体" w:cs="Times New Roman"/>
                <w:color w:val="auto"/>
                <w:sz w:val="24"/>
                <w:szCs w:val="24"/>
                <w:highlight w:val="none"/>
                <w:lang w:eastAsia="zh-CN"/>
              </w:rPr>
              <w:t>《排放源统计调查产排污核算方法和系数手册》</w:t>
            </w:r>
            <w:r>
              <w:rPr>
                <w:rFonts w:hint="eastAsia" w:ascii="Times New Roman" w:hAnsi="Times New Roman" w:eastAsia="宋体" w:cs="Times New Roman"/>
                <w:color w:val="auto"/>
                <w:sz w:val="24"/>
                <w:szCs w:val="24"/>
                <w:highlight w:val="none"/>
                <w:lang w:val="en-US" w:eastAsia="zh-CN"/>
              </w:rPr>
              <w:t>中《3021水泥制品制造行业系数手册》中输送储存产污系数为0.12kg/t-产品，</w:t>
            </w:r>
            <w:r>
              <w:rPr>
                <w:rFonts w:hint="eastAsia" w:ascii="Times New Roman" w:hAnsi="Times New Roman" w:cs="Times New Roman"/>
                <w:color w:val="auto"/>
                <w:sz w:val="24"/>
                <w:highlight w:val="none"/>
                <w:lang w:val="en-US" w:eastAsia="zh-CN"/>
              </w:rPr>
              <w:t>则</w:t>
            </w:r>
            <w:r>
              <w:rPr>
                <w:rFonts w:hint="eastAsia" w:ascii="Times New Roman" w:hAnsi="Times New Roman" w:eastAsia="宋体" w:cs="Times New Roman"/>
                <w:color w:val="auto"/>
                <w:sz w:val="24"/>
                <w:szCs w:val="24"/>
                <w:lang w:val="en-US" w:eastAsia="zh-CN"/>
              </w:rPr>
              <w:t>筒仓</w:t>
            </w:r>
            <w:r>
              <w:rPr>
                <w:rFonts w:hint="eastAsia" w:ascii="Times New Roman" w:hAnsi="Times New Roman" w:cs="Times New Roman"/>
                <w:color w:val="auto"/>
                <w:sz w:val="24"/>
                <w:highlight w:val="none"/>
                <w:lang w:val="en-US" w:eastAsia="zh-CN"/>
              </w:rPr>
              <w:t>粉尘产生量为5万t/a×0.12kg/t=6t/a</w:t>
            </w:r>
          </w:p>
          <w:p w14:paraId="103A4112">
            <w:pPr>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合计：本项目拟在上料机及破碎机设置2个集尘罩，筒仓全密闭设置集气管道，经1台布袋除尘器处理后通过1根15m高排气筒排放。集气罩收集效率以90%计，集气管道收集效率以100%计，除尘效率以99%计，工作时间以2000h/a计，计算排放量如下：</w:t>
            </w:r>
          </w:p>
          <w:p w14:paraId="0A8501DB">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有组织粉尘产生量为：</w:t>
            </w:r>
            <w:r>
              <w:rPr>
                <w:rFonts w:hint="eastAsia" w:ascii="Times New Roman" w:hAnsi="Times New Roman" w:cs="Times New Roman"/>
                <w:color w:val="auto"/>
                <w:sz w:val="24"/>
                <w:lang w:val="en-US" w:eastAsia="zh-CN"/>
              </w:rPr>
              <w:t>56.5×90%+6=56.85t/a</w:t>
            </w:r>
          </w:p>
          <w:p w14:paraId="2D189D5E">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有组织粉尘排放量：</w:t>
            </w:r>
            <w:r>
              <w:rPr>
                <w:rFonts w:hint="eastAsia" w:ascii="Times New Roman" w:hAnsi="Times New Roman" w:cs="Times New Roman"/>
                <w:color w:val="auto"/>
                <w:sz w:val="24"/>
                <w:lang w:val="en-US" w:eastAsia="zh-CN"/>
              </w:rPr>
              <w:t>56.85×（1-99%）=0.57t/a</w:t>
            </w:r>
          </w:p>
          <w:p w14:paraId="5DDD2220">
            <w:pPr>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参照《工业通风排气罩》（机械工业第六设计研究院）集气罩设计规范，根据风量计算公式：L=3600FV</w:t>
            </w:r>
          </w:p>
          <w:p w14:paraId="419C3DF6">
            <w:pPr>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式中：Q——排气罩风量</w:t>
            </w:r>
          </w:p>
          <w:p w14:paraId="52F454E5">
            <w:pPr>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F——罩口截面积；</w:t>
            </w:r>
          </w:p>
          <w:p w14:paraId="2A536036">
            <w:pPr>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V——罩口风速，m/s；参照《局部排风设施控制风速检测与评估技术规范》（AQ/T4274-2016）中上吸式排风罩粉尘控制风速限值，取1.2m/s。</w:t>
            </w:r>
          </w:p>
          <w:p w14:paraId="6F15D144">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计算本项目集气罩参数如下：</w:t>
            </w:r>
          </w:p>
          <w:p w14:paraId="59726AB1">
            <w:pPr>
              <w:jc w:val="center"/>
              <w:rPr>
                <w:rFonts w:ascii="Times New Roman" w:hAnsi="Times New Roman" w:eastAsia="宋体" w:cs="Times New Roman"/>
                <w:b/>
                <w:bCs/>
                <w:color w:val="auto"/>
                <w:sz w:val="21"/>
                <w:szCs w:val="21"/>
                <w:highlight w:val="none"/>
                <w:lang w:eastAsia="zh-CN"/>
              </w:rPr>
            </w:pPr>
            <w:r>
              <w:rPr>
                <w:rFonts w:ascii="Times New Roman" w:hAnsi="Times New Roman" w:eastAsia="宋体" w:cs="Times New Roman"/>
                <w:b/>
                <w:bCs/>
                <w:color w:val="auto"/>
                <w:sz w:val="21"/>
                <w:szCs w:val="21"/>
                <w:highlight w:val="none"/>
                <w:lang w:eastAsia="zh-CN"/>
              </w:rPr>
              <w:t>表</w:t>
            </w:r>
            <w:r>
              <w:rPr>
                <w:rFonts w:hint="eastAsia" w:ascii="Times New Roman" w:hAnsi="Times New Roman" w:eastAsia="宋体" w:cs="Times New Roman"/>
                <w:b/>
                <w:bCs/>
                <w:color w:val="auto"/>
                <w:sz w:val="21"/>
                <w:szCs w:val="21"/>
                <w:highlight w:val="none"/>
                <w:lang w:eastAsia="zh-CN"/>
              </w:rPr>
              <w:t>4</w:t>
            </w:r>
            <w:r>
              <w:rPr>
                <w:rFonts w:hint="eastAsia" w:ascii="Times New Roman" w:hAnsi="Times New Roman" w:eastAsia="宋体" w:cs="Times New Roman"/>
                <w:b/>
                <w:bCs/>
                <w:color w:val="auto"/>
                <w:sz w:val="21"/>
                <w:szCs w:val="21"/>
                <w:highlight w:val="none"/>
                <w:lang w:val="en-US" w:eastAsia="zh-CN"/>
              </w:rPr>
              <w:t xml:space="preserve">.4-3  </w:t>
            </w:r>
            <w:r>
              <w:rPr>
                <w:rFonts w:hint="eastAsia" w:ascii="Times New Roman" w:hAnsi="Times New Roman" w:eastAsia="宋体" w:cs="Times New Roman"/>
                <w:b/>
                <w:bCs/>
                <w:color w:val="auto"/>
                <w:sz w:val="21"/>
                <w:szCs w:val="21"/>
                <w:highlight w:val="none"/>
                <w:lang w:eastAsia="zh-CN"/>
              </w:rPr>
              <w:t>废气收集</w:t>
            </w:r>
            <w:r>
              <w:rPr>
                <w:rFonts w:ascii="Times New Roman" w:hAnsi="Times New Roman" w:eastAsia="宋体" w:cs="Times New Roman"/>
                <w:b/>
                <w:bCs/>
                <w:color w:val="auto"/>
                <w:sz w:val="21"/>
                <w:szCs w:val="21"/>
                <w:highlight w:val="none"/>
                <w:lang w:eastAsia="zh-CN"/>
              </w:rPr>
              <w:t>装置参数一览表</w:t>
            </w:r>
          </w:p>
          <w:tbl>
            <w:tblPr>
              <w:tblStyle w:val="32"/>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
              <w:gridCol w:w="772"/>
              <w:gridCol w:w="902"/>
              <w:gridCol w:w="1117"/>
              <w:gridCol w:w="816"/>
              <w:gridCol w:w="1092"/>
              <w:gridCol w:w="877"/>
              <w:gridCol w:w="842"/>
              <w:gridCol w:w="833"/>
            </w:tblGrid>
            <w:tr w14:paraId="45FFF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70" w:type="dxa"/>
                  <w:gridSpan w:val="2"/>
                  <w:vMerge w:val="restart"/>
                  <w:tcBorders>
                    <w:tl2br w:val="nil"/>
                    <w:tr2bl w:val="nil"/>
                  </w:tcBorders>
                  <w:vAlign w:val="center"/>
                </w:tcPr>
                <w:p w14:paraId="3ED0531A">
                  <w:pPr>
                    <w:pStyle w:val="42"/>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污染源</w:t>
                  </w:r>
                </w:p>
              </w:tc>
              <w:tc>
                <w:tcPr>
                  <w:tcW w:w="902" w:type="dxa"/>
                  <w:vMerge w:val="restart"/>
                  <w:tcBorders>
                    <w:tl2br w:val="nil"/>
                    <w:tr2bl w:val="nil"/>
                  </w:tcBorders>
                  <w:vAlign w:val="center"/>
                </w:tcPr>
                <w:p w14:paraId="43AE7634">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投影面积</w:t>
                  </w:r>
                </w:p>
              </w:tc>
              <w:tc>
                <w:tcPr>
                  <w:tcW w:w="1117" w:type="dxa"/>
                  <w:vMerge w:val="restart"/>
                  <w:tcBorders>
                    <w:tl2br w:val="nil"/>
                    <w:tr2bl w:val="nil"/>
                  </w:tcBorders>
                  <w:vAlign w:val="center"/>
                </w:tcPr>
                <w:p w14:paraId="71162399">
                  <w:pPr>
                    <w:pStyle w:val="42"/>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集尘罩位置及封闭形式</w:t>
                  </w:r>
                </w:p>
              </w:tc>
              <w:tc>
                <w:tcPr>
                  <w:tcW w:w="816" w:type="dxa"/>
                  <w:vMerge w:val="restart"/>
                  <w:tcBorders>
                    <w:tl2br w:val="nil"/>
                    <w:tr2bl w:val="nil"/>
                  </w:tcBorders>
                  <w:vAlign w:val="center"/>
                </w:tcPr>
                <w:p w14:paraId="279BE1F0">
                  <w:pPr>
                    <w:pStyle w:val="42"/>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集尘罩与仓口距离</w:t>
                  </w:r>
                </w:p>
              </w:tc>
              <w:tc>
                <w:tcPr>
                  <w:tcW w:w="1092" w:type="dxa"/>
                  <w:vMerge w:val="restart"/>
                  <w:tcBorders>
                    <w:tl2br w:val="nil"/>
                    <w:tr2bl w:val="nil"/>
                  </w:tcBorders>
                  <w:vAlign w:val="center"/>
                </w:tcPr>
                <w:p w14:paraId="20C7A8F0">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产尘点及罩口</w:t>
                  </w:r>
                  <w:r>
                    <w:rPr>
                      <w:rFonts w:hint="default" w:ascii="Times New Roman" w:hAnsi="Times New Roman" w:eastAsia="宋体" w:cs="Times New Roman"/>
                      <w:b w:val="0"/>
                      <w:bCs w:val="0"/>
                      <w:color w:val="auto"/>
                      <w:sz w:val="21"/>
                      <w:szCs w:val="21"/>
                      <w:lang w:val="en-US" w:eastAsia="zh-CN"/>
                    </w:rPr>
                    <w:t>尺寸</w:t>
                  </w:r>
                </w:p>
              </w:tc>
              <w:tc>
                <w:tcPr>
                  <w:tcW w:w="877" w:type="dxa"/>
                  <w:vMerge w:val="restart"/>
                  <w:tcBorders>
                    <w:tl2br w:val="nil"/>
                    <w:tr2bl w:val="nil"/>
                  </w:tcBorders>
                  <w:vAlign w:val="center"/>
                </w:tcPr>
                <w:p w14:paraId="3ECC881F">
                  <w:pPr>
                    <w:pStyle w:val="42"/>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罩口设计风速m/s</w:t>
                  </w:r>
                </w:p>
              </w:tc>
              <w:tc>
                <w:tcPr>
                  <w:tcW w:w="1675" w:type="dxa"/>
                  <w:gridSpan w:val="2"/>
                  <w:tcBorders>
                    <w:tl2br w:val="nil"/>
                    <w:tr2bl w:val="nil"/>
                  </w:tcBorders>
                  <w:vAlign w:val="center"/>
                </w:tcPr>
                <w:p w14:paraId="058F0CDE">
                  <w:pPr>
                    <w:pStyle w:val="42"/>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计算风量m³/h</w:t>
                  </w:r>
                </w:p>
              </w:tc>
            </w:tr>
            <w:tr w14:paraId="66AA9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70" w:type="dxa"/>
                  <w:gridSpan w:val="2"/>
                  <w:vMerge w:val="continue"/>
                  <w:tcBorders>
                    <w:tl2br w:val="nil"/>
                    <w:tr2bl w:val="nil"/>
                  </w:tcBorders>
                  <w:vAlign w:val="center"/>
                </w:tcPr>
                <w:p w14:paraId="7AB80A9B">
                  <w:pPr>
                    <w:pStyle w:val="42"/>
                    <w:jc w:val="center"/>
                    <w:rPr>
                      <w:rFonts w:hint="default" w:ascii="Times New Roman" w:hAnsi="Times New Roman" w:eastAsia="宋体" w:cs="Times New Roman"/>
                      <w:b w:val="0"/>
                      <w:bCs w:val="0"/>
                      <w:color w:val="auto"/>
                      <w:sz w:val="21"/>
                      <w:szCs w:val="21"/>
                      <w:lang w:val="en-US" w:eastAsia="zh-CN"/>
                    </w:rPr>
                  </w:pPr>
                </w:p>
              </w:tc>
              <w:tc>
                <w:tcPr>
                  <w:tcW w:w="902" w:type="dxa"/>
                  <w:vMerge w:val="continue"/>
                  <w:tcBorders>
                    <w:tl2br w:val="nil"/>
                    <w:tr2bl w:val="nil"/>
                  </w:tcBorders>
                  <w:vAlign w:val="center"/>
                </w:tcPr>
                <w:p w14:paraId="548CB966">
                  <w:pPr>
                    <w:pStyle w:val="42"/>
                    <w:jc w:val="center"/>
                    <w:rPr>
                      <w:rFonts w:hint="default" w:ascii="Times New Roman" w:hAnsi="Times New Roman" w:eastAsia="宋体" w:cs="Times New Roman"/>
                      <w:b w:val="0"/>
                      <w:bCs w:val="0"/>
                      <w:color w:val="auto"/>
                      <w:sz w:val="21"/>
                      <w:szCs w:val="21"/>
                      <w:lang w:val="en-US" w:eastAsia="zh-CN"/>
                    </w:rPr>
                  </w:pPr>
                </w:p>
              </w:tc>
              <w:tc>
                <w:tcPr>
                  <w:tcW w:w="1117" w:type="dxa"/>
                  <w:vMerge w:val="continue"/>
                  <w:tcBorders>
                    <w:tl2br w:val="nil"/>
                    <w:tr2bl w:val="nil"/>
                  </w:tcBorders>
                  <w:vAlign w:val="center"/>
                </w:tcPr>
                <w:p w14:paraId="24D23514">
                  <w:pPr>
                    <w:pStyle w:val="42"/>
                    <w:jc w:val="center"/>
                    <w:rPr>
                      <w:rFonts w:hint="default" w:ascii="Times New Roman" w:hAnsi="Times New Roman" w:eastAsia="宋体" w:cs="Times New Roman"/>
                      <w:b w:val="0"/>
                      <w:bCs w:val="0"/>
                      <w:color w:val="auto"/>
                      <w:sz w:val="21"/>
                      <w:szCs w:val="21"/>
                      <w:lang w:val="en-US" w:eastAsia="zh-CN"/>
                    </w:rPr>
                  </w:pPr>
                </w:p>
              </w:tc>
              <w:tc>
                <w:tcPr>
                  <w:tcW w:w="816" w:type="dxa"/>
                  <w:vMerge w:val="continue"/>
                  <w:tcBorders>
                    <w:tl2br w:val="nil"/>
                    <w:tr2bl w:val="nil"/>
                  </w:tcBorders>
                  <w:vAlign w:val="center"/>
                </w:tcPr>
                <w:p w14:paraId="0A01A2B6">
                  <w:pPr>
                    <w:pStyle w:val="42"/>
                    <w:jc w:val="center"/>
                    <w:rPr>
                      <w:rFonts w:hint="default" w:ascii="Times New Roman" w:hAnsi="Times New Roman" w:eastAsia="宋体" w:cs="Times New Roman"/>
                      <w:b w:val="0"/>
                      <w:bCs w:val="0"/>
                      <w:color w:val="auto"/>
                      <w:sz w:val="21"/>
                      <w:szCs w:val="21"/>
                      <w:lang w:val="en-US" w:eastAsia="zh-CN"/>
                    </w:rPr>
                  </w:pPr>
                </w:p>
              </w:tc>
              <w:tc>
                <w:tcPr>
                  <w:tcW w:w="1092" w:type="dxa"/>
                  <w:vMerge w:val="continue"/>
                  <w:tcBorders>
                    <w:tl2br w:val="nil"/>
                    <w:tr2bl w:val="nil"/>
                  </w:tcBorders>
                  <w:vAlign w:val="center"/>
                </w:tcPr>
                <w:p w14:paraId="4E552B73">
                  <w:pPr>
                    <w:pStyle w:val="42"/>
                    <w:jc w:val="center"/>
                    <w:rPr>
                      <w:rFonts w:hint="default" w:ascii="Times New Roman" w:hAnsi="Times New Roman" w:eastAsia="宋体" w:cs="Times New Roman"/>
                      <w:b w:val="0"/>
                      <w:bCs w:val="0"/>
                      <w:color w:val="auto"/>
                      <w:sz w:val="21"/>
                      <w:szCs w:val="21"/>
                      <w:lang w:val="en-US" w:eastAsia="zh-CN"/>
                    </w:rPr>
                  </w:pPr>
                </w:p>
              </w:tc>
              <w:tc>
                <w:tcPr>
                  <w:tcW w:w="877" w:type="dxa"/>
                  <w:vMerge w:val="continue"/>
                  <w:tcBorders>
                    <w:tl2br w:val="nil"/>
                    <w:tr2bl w:val="nil"/>
                  </w:tcBorders>
                  <w:vAlign w:val="center"/>
                </w:tcPr>
                <w:p w14:paraId="6D03E744">
                  <w:pPr>
                    <w:pStyle w:val="42"/>
                    <w:jc w:val="center"/>
                    <w:rPr>
                      <w:rFonts w:hint="default" w:ascii="Times New Roman" w:hAnsi="Times New Roman" w:eastAsia="宋体" w:cs="Times New Roman"/>
                      <w:b w:val="0"/>
                      <w:bCs w:val="0"/>
                      <w:color w:val="auto"/>
                      <w:sz w:val="21"/>
                      <w:szCs w:val="21"/>
                      <w:lang w:val="en-US" w:eastAsia="zh-CN"/>
                    </w:rPr>
                  </w:pPr>
                </w:p>
              </w:tc>
              <w:tc>
                <w:tcPr>
                  <w:tcW w:w="842" w:type="dxa"/>
                  <w:tcBorders>
                    <w:tl2br w:val="nil"/>
                    <w:tr2bl w:val="nil"/>
                  </w:tcBorders>
                  <w:vAlign w:val="center"/>
                </w:tcPr>
                <w:p w14:paraId="0D01189C">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风量</w:t>
                  </w:r>
                </w:p>
              </w:tc>
              <w:tc>
                <w:tcPr>
                  <w:tcW w:w="833" w:type="dxa"/>
                  <w:tcBorders>
                    <w:tl2br w:val="nil"/>
                    <w:tr2bl w:val="nil"/>
                  </w:tcBorders>
                  <w:vAlign w:val="center"/>
                </w:tcPr>
                <w:p w14:paraId="4A8488CB">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总</w:t>
                  </w:r>
                  <w:r>
                    <w:rPr>
                      <w:rFonts w:hint="default" w:ascii="Times New Roman" w:hAnsi="Times New Roman" w:eastAsia="宋体" w:cs="Times New Roman"/>
                      <w:b w:val="0"/>
                      <w:bCs w:val="0"/>
                      <w:color w:val="auto"/>
                      <w:sz w:val="21"/>
                      <w:szCs w:val="21"/>
                      <w:lang w:val="en-US" w:eastAsia="zh-CN"/>
                    </w:rPr>
                    <w:t>计</w:t>
                  </w:r>
                </w:p>
              </w:tc>
            </w:tr>
            <w:tr w14:paraId="61746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898" w:type="dxa"/>
                  <w:tcBorders>
                    <w:tl2br w:val="nil"/>
                    <w:tr2bl w:val="nil"/>
                  </w:tcBorders>
                  <w:vAlign w:val="center"/>
                </w:tcPr>
                <w:p w14:paraId="29218C72">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上料机</w:t>
                  </w:r>
                </w:p>
              </w:tc>
              <w:tc>
                <w:tcPr>
                  <w:tcW w:w="772" w:type="dxa"/>
                  <w:tcBorders>
                    <w:tl2br w:val="nil"/>
                    <w:tr2bl w:val="nil"/>
                  </w:tcBorders>
                  <w:vAlign w:val="center"/>
                </w:tcPr>
                <w:p w14:paraId="379D97D4">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集气罩</w:t>
                  </w:r>
                </w:p>
              </w:tc>
              <w:tc>
                <w:tcPr>
                  <w:tcW w:w="902" w:type="dxa"/>
                  <w:tcBorders>
                    <w:tl2br w:val="nil"/>
                    <w:tr2bl w:val="nil"/>
                  </w:tcBorders>
                  <w:vAlign w:val="center"/>
                </w:tcPr>
                <w:p w14:paraId="04B9ED24">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7m</w:t>
                  </w:r>
                  <w:r>
                    <w:rPr>
                      <w:rFonts w:hint="eastAsia" w:ascii="Times New Roman" w:hAnsi="Times New Roman" w:eastAsia="宋体" w:cs="Times New Roman"/>
                      <w:b w:val="0"/>
                      <w:bCs w:val="0"/>
                      <w:color w:val="auto"/>
                      <w:sz w:val="21"/>
                      <w:szCs w:val="21"/>
                      <w:vertAlign w:val="superscript"/>
                      <w:lang w:val="en-US" w:eastAsia="zh-CN"/>
                    </w:rPr>
                    <w:t>2</w:t>
                  </w:r>
                </w:p>
              </w:tc>
              <w:tc>
                <w:tcPr>
                  <w:tcW w:w="1117" w:type="dxa"/>
                  <w:tcBorders>
                    <w:tl2br w:val="nil"/>
                    <w:tr2bl w:val="nil"/>
                  </w:tcBorders>
                  <w:vAlign w:val="center"/>
                </w:tcPr>
                <w:p w14:paraId="428A4699">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矩形罩</w:t>
                  </w:r>
                </w:p>
              </w:tc>
              <w:tc>
                <w:tcPr>
                  <w:tcW w:w="816" w:type="dxa"/>
                  <w:tcBorders>
                    <w:tl2br w:val="nil"/>
                    <w:tr2bl w:val="nil"/>
                  </w:tcBorders>
                  <w:vAlign w:val="center"/>
                </w:tcPr>
                <w:p w14:paraId="2A5BDB89">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0.5m</w:t>
                  </w:r>
                </w:p>
              </w:tc>
              <w:tc>
                <w:tcPr>
                  <w:tcW w:w="1092" w:type="dxa"/>
                  <w:tcBorders>
                    <w:tl2br w:val="nil"/>
                    <w:tr2bl w:val="nil"/>
                  </w:tcBorders>
                  <w:vAlign w:val="center"/>
                </w:tcPr>
                <w:p w14:paraId="2E9C536B">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3.5×2m</w:t>
                  </w:r>
                </w:p>
              </w:tc>
              <w:tc>
                <w:tcPr>
                  <w:tcW w:w="877" w:type="dxa"/>
                  <w:tcBorders>
                    <w:tl2br w:val="nil"/>
                    <w:tr2bl w:val="nil"/>
                  </w:tcBorders>
                  <w:vAlign w:val="center"/>
                </w:tcPr>
                <w:p w14:paraId="54F64487">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1.2</w:t>
                  </w:r>
                </w:p>
              </w:tc>
              <w:tc>
                <w:tcPr>
                  <w:tcW w:w="842" w:type="dxa"/>
                  <w:tcBorders>
                    <w:tl2br w:val="nil"/>
                    <w:tr2bl w:val="nil"/>
                  </w:tcBorders>
                  <w:vAlign w:val="center"/>
                </w:tcPr>
                <w:p w14:paraId="04E7443C">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w:t>
                  </w:r>
                  <w:r>
                    <w:rPr>
                      <w:rFonts w:hint="default" w:ascii="Times New Roman" w:hAnsi="Times New Roman" w:eastAsia="宋体" w:cs="Times New Roman"/>
                      <w:b w:val="0"/>
                      <w:bCs w:val="0"/>
                      <w:color w:val="auto"/>
                      <w:sz w:val="21"/>
                      <w:szCs w:val="21"/>
                      <w:lang w:val="en-US" w:eastAsia="zh-CN"/>
                    </w:rPr>
                    <w:t>000</w:t>
                  </w:r>
                </w:p>
              </w:tc>
              <w:tc>
                <w:tcPr>
                  <w:tcW w:w="833" w:type="dxa"/>
                  <w:vMerge w:val="restart"/>
                  <w:tcBorders>
                    <w:tl2br w:val="nil"/>
                    <w:tr2bl w:val="nil"/>
                  </w:tcBorders>
                  <w:vAlign w:val="center"/>
                </w:tcPr>
                <w:p w14:paraId="0A3C6757">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32000</w:t>
                  </w:r>
                </w:p>
              </w:tc>
            </w:tr>
            <w:tr w14:paraId="63457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898" w:type="dxa"/>
                  <w:tcBorders>
                    <w:tl2br w:val="nil"/>
                    <w:tr2bl w:val="nil"/>
                  </w:tcBorders>
                  <w:vAlign w:val="center"/>
                </w:tcPr>
                <w:p w14:paraId="337B575B">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破碎机</w:t>
                  </w:r>
                </w:p>
              </w:tc>
              <w:tc>
                <w:tcPr>
                  <w:tcW w:w="772" w:type="dxa"/>
                  <w:tcBorders>
                    <w:tl2br w:val="nil"/>
                    <w:tr2bl w:val="nil"/>
                  </w:tcBorders>
                  <w:vAlign w:val="center"/>
                </w:tcPr>
                <w:p w14:paraId="34451242">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集气罩</w:t>
                  </w:r>
                </w:p>
              </w:tc>
              <w:tc>
                <w:tcPr>
                  <w:tcW w:w="902" w:type="dxa"/>
                  <w:tcBorders>
                    <w:tl2br w:val="nil"/>
                    <w:tr2bl w:val="nil"/>
                  </w:tcBorders>
                  <w:vAlign w:val="center"/>
                </w:tcPr>
                <w:p w14:paraId="28152349">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7m</w:t>
                  </w:r>
                  <w:r>
                    <w:rPr>
                      <w:rFonts w:hint="eastAsia" w:ascii="Times New Roman" w:hAnsi="Times New Roman" w:eastAsia="宋体" w:cs="Times New Roman"/>
                      <w:b w:val="0"/>
                      <w:bCs w:val="0"/>
                      <w:color w:val="auto"/>
                      <w:sz w:val="21"/>
                      <w:szCs w:val="21"/>
                      <w:vertAlign w:val="superscript"/>
                      <w:lang w:val="en-US" w:eastAsia="zh-CN"/>
                    </w:rPr>
                    <w:t>2</w:t>
                  </w:r>
                </w:p>
              </w:tc>
              <w:tc>
                <w:tcPr>
                  <w:tcW w:w="1117" w:type="dxa"/>
                  <w:tcBorders>
                    <w:tl2br w:val="nil"/>
                    <w:tr2bl w:val="nil"/>
                  </w:tcBorders>
                  <w:vAlign w:val="center"/>
                </w:tcPr>
                <w:p w14:paraId="13574ACE">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矩形罩</w:t>
                  </w:r>
                </w:p>
              </w:tc>
              <w:tc>
                <w:tcPr>
                  <w:tcW w:w="816" w:type="dxa"/>
                  <w:tcBorders>
                    <w:tl2br w:val="nil"/>
                    <w:tr2bl w:val="nil"/>
                  </w:tcBorders>
                  <w:vAlign w:val="center"/>
                </w:tcPr>
                <w:p w14:paraId="31A84395">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0.5m</w:t>
                  </w:r>
                </w:p>
              </w:tc>
              <w:tc>
                <w:tcPr>
                  <w:tcW w:w="1092" w:type="dxa"/>
                  <w:tcBorders>
                    <w:tl2br w:val="nil"/>
                    <w:tr2bl w:val="nil"/>
                  </w:tcBorders>
                  <w:vAlign w:val="center"/>
                </w:tcPr>
                <w:p w14:paraId="5867F2EB">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3×2.3m</w:t>
                  </w:r>
                </w:p>
              </w:tc>
              <w:tc>
                <w:tcPr>
                  <w:tcW w:w="877" w:type="dxa"/>
                  <w:tcBorders>
                    <w:tl2br w:val="nil"/>
                    <w:tr2bl w:val="nil"/>
                  </w:tcBorders>
                  <w:vAlign w:val="center"/>
                </w:tcPr>
                <w:p w14:paraId="0ED18022">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1.2</w:t>
                  </w:r>
                </w:p>
              </w:tc>
              <w:tc>
                <w:tcPr>
                  <w:tcW w:w="842" w:type="dxa"/>
                  <w:tcBorders>
                    <w:tl2br w:val="nil"/>
                    <w:tr2bl w:val="nil"/>
                  </w:tcBorders>
                  <w:vAlign w:val="center"/>
                </w:tcPr>
                <w:p w14:paraId="7B4CA687">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w:t>
                  </w:r>
                  <w:r>
                    <w:rPr>
                      <w:rFonts w:hint="default" w:ascii="Times New Roman" w:hAnsi="Times New Roman" w:eastAsia="宋体" w:cs="Times New Roman"/>
                      <w:b w:val="0"/>
                      <w:bCs w:val="0"/>
                      <w:color w:val="auto"/>
                      <w:sz w:val="21"/>
                      <w:szCs w:val="21"/>
                      <w:lang w:val="en-US" w:eastAsia="zh-CN"/>
                    </w:rPr>
                    <w:t>000</w:t>
                  </w:r>
                </w:p>
              </w:tc>
              <w:tc>
                <w:tcPr>
                  <w:tcW w:w="833" w:type="dxa"/>
                  <w:vMerge w:val="continue"/>
                  <w:tcBorders>
                    <w:tl2br w:val="nil"/>
                    <w:tr2bl w:val="nil"/>
                  </w:tcBorders>
                  <w:vAlign w:val="center"/>
                </w:tcPr>
                <w:p w14:paraId="112E71BA">
                  <w:pPr>
                    <w:pStyle w:val="42"/>
                    <w:jc w:val="center"/>
                    <w:rPr>
                      <w:rFonts w:hint="default" w:ascii="Times New Roman" w:hAnsi="Times New Roman" w:eastAsia="宋体" w:cs="Times New Roman"/>
                      <w:b w:val="0"/>
                      <w:bCs w:val="0"/>
                      <w:color w:val="auto"/>
                      <w:sz w:val="21"/>
                      <w:szCs w:val="21"/>
                      <w:lang w:val="en-US" w:eastAsia="zh-CN"/>
                    </w:rPr>
                  </w:pPr>
                </w:p>
              </w:tc>
            </w:tr>
            <w:tr w14:paraId="201F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898" w:type="dxa"/>
                  <w:tcBorders>
                    <w:tl2br w:val="nil"/>
                    <w:tr2bl w:val="nil"/>
                  </w:tcBorders>
                  <w:vAlign w:val="center"/>
                </w:tcPr>
                <w:p w14:paraId="4C720FA6">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筒仓</w:t>
                  </w:r>
                </w:p>
              </w:tc>
              <w:tc>
                <w:tcPr>
                  <w:tcW w:w="772" w:type="dxa"/>
                  <w:tcBorders>
                    <w:tl2br w:val="nil"/>
                    <w:tr2bl w:val="nil"/>
                  </w:tcBorders>
                  <w:vAlign w:val="center"/>
                </w:tcPr>
                <w:p w14:paraId="42BBCDD3">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集气管道</w:t>
                  </w:r>
                </w:p>
              </w:tc>
              <w:tc>
                <w:tcPr>
                  <w:tcW w:w="902" w:type="dxa"/>
                  <w:tcBorders>
                    <w:tl2br w:val="nil"/>
                    <w:tr2bl w:val="nil"/>
                  </w:tcBorders>
                  <w:vAlign w:val="center"/>
                </w:tcPr>
                <w:p w14:paraId="482D89A3">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1117" w:type="dxa"/>
                  <w:tcBorders>
                    <w:tl2br w:val="nil"/>
                    <w:tr2bl w:val="nil"/>
                  </w:tcBorders>
                  <w:vAlign w:val="center"/>
                </w:tcPr>
                <w:p w14:paraId="47AF93C9">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816" w:type="dxa"/>
                  <w:tcBorders>
                    <w:tl2br w:val="nil"/>
                    <w:tr2bl w:val="nil"/>
                  </w:tcBorders>
                  <w:vAlign w:val="center"/>
                </w:tcPr>
                <w:p w14:paraId="20B25F4D">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1092" w:type="dxa"/>
                  <w:tcBorders>
                    <w:tl2br w:val="nil"/>
                    <w:tr2bl w:val="nil"/>
                  </w:tcBorders>
                  <w:vAlign w:val="center"/>
                </w:tcPr>
                <w:p w14:paraId="2BDEED9F">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877" w:type="dxa"/>
                  <w:tcBorders>
                    <w:tl2br w:val="nil"/>
                    <w:tr2bl w:val="nil"/>
                  </w:tcBorders>
                  <w:vAlign w:val="center"/>
                </w:tcPr>
                <w:p w14:paraId="5ECADAAC">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842" w:type="dxa"/>
                  <w:tcBorders>
                    <w:tl2br w:val="nil"/>
                    <w:tr2bl w:val="nil"/>
                  </w:tcBorders>
                  <w:vAlign w:val="center"/>
                </w:tcPr>
                <w:p w14:paraId="7E23A322">
                  <w:pPr>
                    <w:pStyle w:val="42"/>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2000</w:t>
                  </w:r>
                </w:p>
              </w:tc>
              <w:tc>
                <w:tcPr>
                  <w:tcW w:w="833" w:type="dxa"/>
                  <w:vMerge w:val="continue"/>
                  <w:tcBorders>
                    <w:tl2br w:val="nil"/>
                    <w:tr2bl w:val="nil"/>
                  </w:tcBorders>
                  <w:vAlign w:val="center"/>
                </w:tcPr>
                <w:p w14:paraId="3ECBB2A1">
                  <w:pPr>
                    <w:pStyle w:val="42"/>
                    <w:jc w:val="center"/>
                    <w:rPr>
                      <w:rFonts w:hint="default" w:ascii="Times New Roman" w:hAnsi="Times New Roman" w:eastAsia="宋体" w:cs="Times New Roman"/>
                      <w:b w:val="0"/>
                      <w:bCs w:val="0"/>
                      <w:color w:val="auto"/>
                      <w:sz w:val="21"/>
                      <w:szCs w:val="21"/>
                      <w:lang w:val="en-US" w:eastAsia="zh-CN"/>
                    </w:rPr>
                  </w:pPr>
                </w:p>
              </w:tc>
            </w:tr>
          </w:tbl>
          <w:p w14:paraId="3854FFDA">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有组织粉尘排放浓度：</w:t>
            </w:r>
            <w:r>
              <w:rPr>
                <w:rFonts w:hint="eastAsia" w:ascii="Times New Roman" w:hAnsi="Times New Roman" w:cs="Times New Roman"/>
                <w:color w:val="auto"/>
                <w:sz w:val="24"/>
                <w:lang w:val="en-US" w:eastAsia="zh-CN"/>
              </w:rPr>
              <w:t>0.57t/a</w:t>
            </w:r>
            <w:r>
              <w:rPr>
                <w:rFonts w:hint="eastAsia" w:ascii="Times New Roman" w:hAnsi="Times New Roman" w:cs="Times New Roman"/>
                <w:color w:val="auto"/>
                <w:sz w:val="24"/>
                <w:szCs w:val="24"/>
                <w:lang w:val="en-US" w:eastAsia="zh-CN"/>
              </w:rPr>
              <w:t>×10</w:t>
            </w:r>
            <w:r>
              <w:rPr>
                <w:rFonts w:hint="eastAsia" w:ascii="Times New Roman" w:hAnsi="Times New Roman" w:cs="Times New Roman"/>
                <w:color w:val="auto"/>
                <w:sz w:val="24"/>
                <w:szCs w:val="24"/>
                <w:vertAlign w:val="superscript"/>
                <w:lang w:val="en-US" w:eastAsia="zh-CN"/>
              </w:rPr>
              <w:t>9</w:t>
            </w:r>
            <w:r>
              <w:rPr>
                <w:rFonts w:hint="eastAsia" w:ascii="Times New Roman" w:hAnsi="Times New Roman"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2000h/a</w:t>
            </w:r>
            <w:r>
              <w:rPr>
                <w:rFonts w:hint="eastAsia" w:ascii="Times New Roman" w:hAnsi="Times New Roman" w:cs="Times New Roman"/>
                <w:color w:val="auto"/>
                <w:sz w:val="24"/>
                <w:szCs w:val="24"/>
                <w:lang w:val="en-US" w:eastAsia="zh-CN"/>
              </w:rPr>
              <w:t>÷32000</w:t>
            </w:r>
            <w:r>
              <w:rPr>
                <w:rFonts w:ascii="Times New Roman" w:hAnsi="Times New Roman" w:eastAsia="宋体" w:cs="Times New Roman"/>
                <w:color w:val="auto"/>
                <w:sz w:val="24"/>
                <w:szCs w:val="24"/>
                <w:highlight w:val="none"/>
                <w:lang w:eastAsia="zh-CN"/>
              </w:rPr>
              <w:t>m³/h</w:t>
            </w:r>
            <w:r>
              <w:rPr>
                <w:rFonts w:hint="eastAsia" w:ascii="Times New Roman" w:hAnsi="Times New Roman" w:eastAsia="宋体" w:cs="Times New Roman"/>
                <w:color w:val="auto"/>
                <w:sz w:val="24"/>
                <w:szCs w:val="24"/>
                <w:highlight w:val="none"/>
                <w:lang w:val="en-US" w:eastAsia="zh-CN"/>
              </w:rPr>
              <w:t>=8.9</w:t>
            </w:r>
            <w:r>
              <w:rPr>
                <w:rFonts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lang w:val="en-US" w:eastAsia="zh-CN"/>
              </w:rPr>
              <w:t>g</w:t>
            </w:r>
            <w:r>
              <w:rPr>
                <w:rFonts w:ascii="Times New Roman" w:hAnsi="Times New Roman" w:eastAsia="宋体" w:cs="Times New Roman"/>
                <w:color w:val="auto"/>
                <w:sz w:val="24"/>
                <w:szCs w:val="24"/>
                <w:highlight w:val="none"/>
                <w:lang w:eastAsia="zh-CN"/>
              </w:rPr>
              <w:t>/m³</w:t>
            </w:r>
          </w:p>
          <w:p w14:paraId="606017CA">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无组织粉尘产生量：</w:t>
            </w:r>
            <w:r>
              <w:rPr>
                <w:rFonts w:hint="eastAsia" w:ascii="Times New Roman" w:hAnsi="Times New Roman" w:cs="Times New Roman"/>
                <w:color w:val="auto"/>
                <w:sz w:val="24"/>
                <w:lang w:val="en-US" w:eastAsia="zh-CN"/>
              </w:rPr>
              <w:t>56.5×10%=5.65t/a</w:t>
            </w:r>
          </w:p>
          <w:p w14:paraId="4AD06FE3">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无组织粉尘排放量：</w:t>
            </w:r>
            <w:r>
              <w:rPr>
                <w:rFonts w:hint="eastAsia" w:ascii="Times New Roman" w:hAnsi="Times New Roman" w:cs="Times New Roman"/>
                <w:color w:val="auto"/>
                <w:sz w:val="24"/>
                <w:lang w:val="en-US" w:eastAsia="zh-CN"/>
              </w:rPr>
              <w:t>11.3t/a</w:t>
            </w:r>
            <w:r>
              <w:rPr>
                <w:rFonts w:hint="eastAsia" w:ascii="Times New Roman" w:hAnsi="Times New Roman" w:eastAsia="宋体" w:cs="Times New Roman"/>
                <w:color w:val="auto"/>
                <w:sz w:val="24"/>
                <w:szCs w:val="24"/>
                <w:lang w:val="en-US" w:eastAsia="zh-CN"/>
              </w:rPr>
              <w:t>×（1-99%）=0.06</w:t>
            </w:r>
            <w:r>
              <w:rPr>
                <w:rFonts w:hint="eastAsia" w:ascii="Times New Roman" w:hAnsi="Times New Roman" w:cs="Times New Roman"/>
                <w:color w:val="auto"/>
                <w:sz w:val="24"/>
                <w:lang w:val="en-US" w:eastAsia="zh-CN"/>
              </w:rPr>
              <w:t>t/a</w:t>
            </w:r>
          </w:p>
          <w:p w14:paraId="60B7798C">
            <w:pPr>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highlight w:val="none"/>
                <w:lang w:val="en-US" w:eastAsia="zh-CN"/>
              </w:rPr>
              <w:t>废气排放信息</w:t>
            </w:r>
          </w:p>
          <w:p w14:paraId="2C7A2A87">
            <w:pPr>
              <w:adjustRightInd w:val="0"/>
              <w:jc w:val="center"/>
              <w:rPr>
                <w:rFonts w:hint="eastAsia"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val="en-US" w:eastAsia="zh-CN"/>
              </w:rPr>
              <w:t xml:space="preserve">表4.4-4 废气污染源产生排放情况表 </w:t>
            </w:r>
          </w:p>
          <w:tbl>
            <w:tblPr>
              <w:tblStyle w:val="33"/>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2305"/>
              <w:gridCol w:w="3428"/>
              <w:gridCol w:w="1486"/>
            </w:tblGrid>
            <w:tr w14:paraId="62500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239" w:type="dxa"/>
                  <w:gridSpan w:val="2"/>
                  <w:tcBorders>
                    <w:tl2br w:val="nil"/>
                    <w:tr2bl w:val="nil"/>
                  </w:tcBorders>
                  <w:vAlign w:val="center"/>
                </w:tcPr>
                <w:p w14:paraId="2AA46E4F">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污染源名称</w:t>
                  </w:r>
                </w:p>
              </w:tc>
              <w:tc>
                <w:tcPr>
                  <w:tcW w:w="3428" w:type="dxa"/>
                  <w:tcBorders>
                    <w:tl2br w:val="nil"/>
                    <w:tr2bl w:val="nil"/>
                  </w:tcBorders>
                  <w:vAlign w:val="center"/>
                </w:tcPr>
                <w:p w14:paraId="5F00B4A4">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上料+破碎</w:t>
                  </w:r>
                </w:p>
              </w:tc>
              <w:tc>
                <w:tcPr>
                  <w:tcW w:w="1486" w:type="dxa"/>
                  <w:tcBorders>
                    <w:tl2br w:val="nil"/>
                    <w:tr2bl w:val="nil"/>
                  </w:tcBorders>
                  <w:vAlign w:val="center"/>
                </w:tcPr>
                <w:p w14:paraId="7EC3ED8F">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厂界</w:t>
                  </w:r>
                </w:p>
              </w:tc>
            </w:tr>
            <w:tr w14:paraId="5BB1E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239" w:type="dxa"/>
                  <w:gridSpan w:val="2"/>
                  <w:tcBorders>
                    <w:tl2br w:val="nil"/>
                    <w:tr2bl w:val="nil"/>
                  </w:tcBorders>
                  <w:vAlign w:val="center"/>
                </w:tcPr>
                <w:p w14:paraId="0F11E9D5">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污染物种类</w:t>
                  </w:r>
                </w:p>
              </w:tc>
              <w:tc>
                <w:tcPr>
                  <w:tcW w:w="3428" w:type="dxa"/>
                  <w:tcBorders>
                    <w:tl2br w:val="nil"/>
                    <w:tr2bl w:val="nil"/>
                  </w:tcBorders>
                  <w:vAlign w:val="center"/>
                </w:tcPr>
                <w:p w14:paraId="1446AE7E">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颗粒物</w:t>
                  </w:r>
                </w:p>
              </w:tc>
              <w:tc>
                <w:tcPr>
                  <w:tcW w:w="1486" w:type="dxa"/>
                  <w:tcBorders>
                    <w:tl2br w:val="nil"/>
                    <w:tr2bl w:val="nil"/>
                  </w:tcBorders>
                  <w:vAlign w:val="center"/>
                </w:tcPr>
                <w:p w14:paraId="491B4305">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颗粒物</w:t>
                  </w:r>
                </w:p>
              </w:tc>
            </w:tr>
            <w:tr w14:paraId="17819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239" w:type="dxa"/>
                  <w:gridSpan w:val="2"/>
                  <w:tcBorders>
                    <w:tl2br w:val="nil"/>
                    <w:tr2bl w:val="nil"/>
                  </w:tcBorders>
                  <w:vAlign w:val="center"/>
                </w:tcPr>
                <w:p w14:paraId="1728E522">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排放形式</w:t>
                  </w:r>
                </w:p>
              </w:tc>
              <w:tc>
                <w:tcPr>
                  <w:tcW w:w="3428" w:type="dxa"/>
                  <w:tcBorders>
                    <w:tl2br w:val="nil"/>
                    <w:tr2bl w:val="nil"/>
                  </w:tcBorders>
                  <w:vAlign w:val="center"/>
                </w:tcPr>
                <w:p w14:paraId="65687EDE">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有组织</w:t>
                  </w:r>
                </w:p>
              </w:tc>
              <w:tc>
                <w:tcPr>
                  <w:tcW w:w="1486" w:type="dxa"/>
                  <w:tcBorders>
                    <w:tl2br w:val="nil"/>
                    <w:tr2bl w:val="nil"/>
                  </w:tcBorders>
                  <w:vAlign w:val="center"/>
                </w:tcPr>
                <w:p w14:paraId="24AD5998">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无组织</w:t>
                  </w:r>
                </w:p>
              </w:tc>
            </w:tr>
            <w:tr w14:paraId="103FF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239" w:type="dxa"/>
                  <w:gridSpan w:val="2"/>
                  <w:tcBorders>
                    <w:tl2br w:val="nil"/>
                    <w:tr2bl w:val="nil"/>
                  </w:tcBorders>
                  <w:vAlign w:val="center"/>
                </w:tcPr>
                <w:p w14:paraId="33B51D38">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废气量（Nm</w:t>
                  </w:r>
                  <w:r>
                    <w:rPr>
                      <w:rFonts w:hint="eastAsia" w:ascii="Times New Roman" w:hAnsi="Times New Roman" w:eastAsia="宋体" w:cs="Times New Roman"/>
                      <w:color w:val="auto"/>
                      <w:sz w:val="20"/>
                      <w:szCs w:val="20"/>
                      <w:highlight w:val="none"/>
                      <w:vertAlign w:val="superscript"/>
                      <w:lang w:val="en-US" w:eastAsia="zh-CN"/>
                    </w:rPr>
                    <w:t>3</w:t>
                  </w:r>
                  <w:r>
                    <w:rPr>
                      <w:rFonts w:hint="eastAsia" w:ascii="Times New Roman" w:hAnsi="Times New Roman" w:eastAsia="宋体" w:cs="Times New Roman"/>
                      <w:color w:val="auto"/>
                      <w:sz w:val="20"/>
                      <w:szCs w:val="20"/>
                      <w:highlight w:val="none"/>
                      <w:lang w:val="en-US" w:eastAsia="zh-CN"/>
                    </w:rPr>
                    <w:t>/h）</w:t>
                  </w:r>
                </w:p>
              </w:tc>
              <w:tc>
                <w:tcPr>
                  <w:tcW w:w="3428" w:type="dxa"/>
                  <w:tcBorders>
                    <w:tl2br w:val="nil"/>
                    <w:tr2bl w:val="nil"/>
                  </w:tcBorders>
                  <w:vAlign w:val="center"/>
                </w:tcPr>
                <w:p w14:paraId="1DD125E1">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32000</w:t>
                  </w:r>
                </w:p>
              </w:tc>
              <w:tc>
                <w:tcPr>
                  <w:tcW w:w="1486" w:type="dxa"/>
                  <w:tcBorders>
                    <w:tl2br w:val="nil"/>
                    <w:tr2bl w:val="nil"/>
                  </w:tcBorders>
                  <w:vAlign w:val="center"/>
                </w:tcPr>
                <w:p w14:paraId="46B24404">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2F7AE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restart"/>
                  <w:tcBorders>
                    <w:tl2br w:val="nil"/>
                    <w:tr2bl w:val="nil"/>
                  </w:tcBorders>
                  <w:vAlign w:val="center"/>
                </w:tcPr>
                <w:p w14:paraId="462ED7A4">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污染物产生情况</w:t>
                  </w:r>
                </w:p>
              </w:tc>
              <w:tc>
                <w:tcPr>
                  <w:tcW w:w="2305" w:type="dxa"/>
                  <w:tcBorders>
                    <w:tl2br w:val="nil"/>
                    <w:tr2bl w:val="nil"/>
                  </w:tcBorders>
                  <w:vAlign w:val="center"/>
                </w:tcPr>
                <w:p w14:paraId="4FABBF49">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浓度</w:t>
                  </w:r>
                  <w:r>
                    <w:rPr>
                      <w:rFonts w:hint="eastAsia" w:ascii="Times New Roman" w:hAnsi="Times New Roman" w:eastAsia="宋体" w:cs="Times New Roman"/>
                      <w:color w:val="auto"/>
                      <w:sz w:val="20"/>
                      <w:szCs w:val="20"/>
                      <w:highlight w:val="none"/>
                      <w:lang w:eastAsia="zh-CN"/>
                    </w:rPr>
                    <w:t>（mg/m</w:t>
                  </w:r>
                  <w:r>
                    <w:rPr>
                      <w:rFonts w:hint="eastAsia" w:ascii="Times New Roman" w:hAnsi="Times New Roman" w:eastAsia="宋体" w:cs="Times New Roman"/>
                      <w:color w:val="auto"/>
                      <w:sz w:val="20"/>
                      <w:szCs w:val="20"/>
                      <w:highlight w:val="none"/>
                      <w:vertAlign w:val="superscript"/>
                      <w:lang w:eastAsia="zh-CN"/>
                    </w:rPr>
                    <w:t>3</w:t>
                  </w:r>
                  <w:r>
                    <w:rPr>
                      <w:rFonts w:hint="eastAsia" w:ascii="Times New Roman" w:hAnsi="Times New Roman" w:eastAsia="宋体" w:cs="Times New Roman"/>
                      <w:color w:val="auto"/>
                      <w:sz w:val="20"/>
                      <w:szCs w:val="20"/>
                      <w:highlight w:val="none"/>
                      <w:lang w:eastAsia="zh-CN"/>
                    </w:rPr>
                    <w:t>）</w:t>
                  </w:r>
                </w:p>
              </w:tc>
              <w:tc>
                <w:tcPr>
                  <w:tcW w:w="3428" w:type="dxa"/>
                  <w:tcBorders>
                    <w:tl2br w:val="nil"/>
                    <w:tr2bl w:val="nil"/>
                  </w:tcBorders>
                  <w:vAlign w:val="center"/>
                </w:tcPr>
                <w:p w14:paraId="6F78D219">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890</w:t>
                  </w:r>
                </w:p>
              </w:tc>
              <w:tc>
                <w:tcPr>
                  <w:tcW w:w="1486" w:type="dxa"/>
                  <w:tcBorders>
                    <w:tl2br w:val="nil"/>
                    <w:tr2bl w:val="nil"/>
                  </w:tcBorders>
                  <w:vAlign w:val="center"/>
                </w:tcPr>
                <w:p w14:paraId="6D66A6C7">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6D388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4" w:type="dxa"/>
                  <w:vMerge w:val="continue"/>
                  <w:tcBorders>
                    <w:tl2br w:val="nil"/>
                    <w:tr2bl w:val="nil"/>
                  </w:tcBorders>
                  <w:vAlign w:val="center"/>
                </w:tcPr>
                <w:p w14:paraId="7B0E5318">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36763EEA">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产生量</w:t>
                  </w:r>
                  <w:r>
                    <w:rPr>
                      <w:rFonts w:hint="eastAsia" w:ascii="Times New Roman" w:hAnsi="Times New Roman" w:eastAsia="宋体" w:cs="Times New Roman"/>
                      <w:color w:val="auto"/>
                      <w:sz w:val="20"/>
                      <w:szCs w:val="20"/>
                      <w:highlight w:val="none"/>
                      <w:lang w:eastAsia="zh-CN"/>
                    </w:rPr>
                    <w:t>（</w:t>
                  </w:r>
                  <w:r>
                    <w:rPr>
                      <w:rFonts w:hint="eastAsia" w:ascii="Times New Roman" w:hAnsi="Times New Roman" w:eastAsia="宋体" w:cs="Times New Roman"/>
                      <w:color w:val="auto"/>
                      <w:sz w:val="20"/>
                      <w:szCs w:val="20"/>
                      <w:highlight w:val="none"/>
                      <w:lang w:val="en-US" w:eastAsia="zh-CN"/>
                    </w:rPr>
                    <w:t>kg/h</w:t>
                  </w:r>
                  <w:r>
                    <w:rPr>
                      <w:rFonts w:hint="eastAsia" w:ascii="Times New Roman" w:hAnsi="Times New Roman" w:eastAsia="宋体" w:cs="Times New Roman"/>
                      <w:color w:val="auto"/>
                      <w:sz w:val="20"/>
                      <w:szCs w:val="20"/>
                      <w:highlight w:val="none"/>
                      <w:lang w:eastAsia="zh-CN"/>
                    </w:rPr>
                    <w:t>）</w:t>
                  </w:r>
                </w:p>
              </w:tc>
              <w:tc>
                <w:tcPr>
                  <w:tcW w:w="3428" w:type="dxa"/>
                  <w:tcBorders>
                    <w:tl2br w:val="nil"/>
                    <w:tr2bl w:val="nil"/>
                  </w:tcBorders>
                  <w:shd w:val="clear" w:color="auto" w:fill="auto"/>
                  <w:vAlign w:val="center"/>
                </w:tcPr>
                <w:p w14:paraId="72A29D36">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28.425</w:t>
                  </w:r>
                </w:p>
              </w:tc>
              <w:tc>
                <w:tcPr>
                  <w:tcW w:w="1486" w:type="dxa"/>
                  <w:tcBorders>
                    <w:tl2br w:val="nil"/>
                    <w:tr2bl w:val="nil"/>
                  </w:tcBorders>
                  <w:shd w:val="clear" w:color="auto" w:fill="auto"/>
                  <w:vAlign w:val="center"/>
                </w:tcPr>
                <w:p w14:paraId="5E4BA165">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bidi="ar-SA"/>
                    </w:rPr>
                  </w:pPr>
                  <w:r>
                    <w:rPr>
                      <w:rFonts w:hint="eastAsia" w:ascii="Times New Roman" w:hAnsi="Times New Roman" w:eastAsia="宋体" w:cs="Times New Roman"/>
                      <w:color w:val="auto"/>
                      <w:sz w:val="20"/>
                      <w:szCs w:val="20"/>
                      <w:highlight w:val="none"/>
                      <w:lang w:val="en-US" w:eastAsia="zh-CN"/>
                    </w:rPr>
                    <w:t>22.725</w:t>
                  </w:r>
                </w:p>
              </w:tc>
            </w:tr>
            <w:tr w14:paraId="7497F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4" w:type="dxa"/>
                  <w:vMerge w:val="continue"/>
                  <w:tcBorders>
                    <w:tl2br w:val="nil"/>
                    <w:tr2bl w:val="nil"/>
                  </w:tcBorders>
                  <w:vAlign w:val="center"/>
                </w:tcPr>
                <w:p w14:paraId="3ED74742">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4EA954C8">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核算方法</w:t>
                  </w:r>
                </w:p>
              </w:tc>
              <w:tc>
                <w:tcPr>
                  <w:tcW w:w="3428" w:type="dxa"/>
                  <w:tcBorders>
                    <w:tl2br w:val="nil"/>
                    <w:tr2bl w:val="nil"/>
                  </w:tcBorders>
                  <w:vAlign w:val="center"/>
                </w:tcPr>
                <w:p w14:paraId="51B08C6E">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排放源统计调查产排污核算方法和系数手册</w:t>
                  </w:r>
                </w:p>
              </w:tc>
              <w:tc>
                <w:tcPr>
                  <w:tcW w:w="1486" w:type="dxa"/>
                  <w:tcBorders>
                    <w:tl2br w:val="nil"/>
                    <w:tr2bl w:val="nil"/>
                  </w:tcBorders>
                  <w:vAlign w:val="center"/>
                </w:tcPr>
                <w:p w14:paraId="5A2A9C96">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类比法</w:t>
                  </w:r>
                </w:p>
              </w:tc>
            </w:tr>
            <w:tr w14:paraId="7DA4C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restart"/>
                  <w:tcBorders>
                    <w:tl2br w:val="nil"/>
                    <w:tr2bl w:val="nil"/>
                  </w:tcBorders>
                  <w:vAlign w:val="center"/>
                </w:tcPr>
                <w:p w14:paraId="5524610F">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污染防治措施</w:t>
                  </w:r>
                </w:p>
              </w:tc>
              <w:tc>
                <w:tcPr>
                  <w:tcW w:w="2305" w:type="dxa"/>
                  <w:tcBorders>
                    <w:tl2br w:val="nil"/>
                    <w:tr2bl w:val="nil"/>
                  </w:tcBorders>
                  <w:vAlign w:val="center"/>
                </w:tcPr>
                <w:p w14:paraId="1C4E1DCA">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治理设施</w:t>
                  </w:r>
                </w:p>
              </w:tc>
              <w:tc>
                <w:tcPr>
                  <w:tcW w:w="3428" w:type="dxa"/>
                  <w:tcBorders>
                    <w:tl2br w:val="nil"/>
                    <w:tr2bl w:val="nil"/>
                  </w:tcBorders>
                  <w:vAlign w:val="center"/>
                </w:tcPr>
                <w:p w14:paraId="490DB696">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布袋除尘器</w:t>
                  </w:r>
                </w:p>
              </w:tc>
              <w:tc>
                <w:tcPr>
                  <w:tcW w:w="1486" w:type="dxa"/>
                  <w:tcBorders>
                    <w:tl2br w:val="nil"/>
                    <w:tr2bl w:val="nil"/>
                  </w:tcBorders>
                  <w:vAlign w:val="center"/>
                </w:tcPr>
                <w:p w14:paraId="0B7713F7">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密闭</w:t>
                  </w:r>
                </w:p>
              </w:tc>
            </w:tr>
            <w:tr w14:paraId="1E134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4" w:type="dxa"/>
                  <w:vMerge w:val="continue"/>
                  <w:tcBorders>
                    <w:tl2br w:val="nil"/>
                    <w:tr2bl w:val="nil"/>
                  </w:tcBorders>
                  <w:vAlign w:val="center"/>
                </w:tcPr>
                <w:p w14:paraId="20D442EA">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1FF5FFDD">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收集效率（%）</w:t>
                  </w:r>
                </w:p>
              </w:tc>
              <w:tc>
                <w:tcPr>
                  <w:tcW w:w="3428" w:type="dxa"/>
                  <w:tcBorders>
                    <w:tl2br w:val="nil"/>
                    <w:tr2bl w:val="nil"/>
                  </w:tcBorders>
                  <w:vAlign w:val="center"/>
                </w:tcPr>
                <w:p w14:paraId="03C3F08B">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90/100</w:t>
                  </w:r>
                </w:p>
              </w:tc>
              <w:tc>
                <w:tcPr>
                  <w:tcW w:w="1486" w:type="dxa"/>
                  <w:tcBorders>
                    <w:tl2br w:val="nil"/>
                    <w:tr2bl w:val="nil"/>
                  </w:tcBorders>
                  <w:vAlign w:val="center"/>
                </w:tcPr>
                <w:p w14:paraId="3D211407">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5C98D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2799D87E">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306CE1C6">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处理效率（%）</w:t>
                  </w:r>
                </w:p>
              </w:tc>
              <w:tc>
                <w:tcPr>
                  <w:tcW w:w="3428" w:type="dxa"/>
                  <w:tcBorders>
                    <w:tl2br w:val="nil"/>
                    <w:tr2bl w:val="nil"/>
                  </w:tcBorders>
                  <w:vAlign w:val="center"/>
                </w:tcPr>
                <w:p w14:paraId="098524E4">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99</w:t>
                  </w:r>
                </w:p>
              </w:tc>
              <w:tc>
                <w:tcPr>
                  <w:tcW w:w="1486" w:type="dxa"/>
                  <w:tcBorders>
                    <w:tl2br w:val="nil"/>
                    <w:tr2bl w:val="nil"/>
                  </w:tcBorders>
                  <w:vAlign w:val="center"/>
                </w:tcPr>
                <w:p w14:paraId="030A2B40">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99</w:t>
                  </w:r>
                </w:p>
              </w:tc>
            </w:tr>
            <w:tr w14:paraId="47351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restart"/>
                  <w:tcBorders>
                    <w:tl2br w:val="nil"/>
                    <w:tr2bl w:val="nil"/>
                  </w:tcBorders>
                  <w:vAlign w:val="center"/>
                </w:tcPr>
                <w:p w14:paraId="0068AB79">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污染排放情况</w:t>
                  </w:r>
                </w:p>
              </w:tc>
              <w:tc>
                <w:tcPr>
                  <w:tcW w:w="2305" w:type="dxa"/>
                  <w:tcBorders>
                    <w:tl2br w:val="nil"/>
                    <w:tr2bl w:val="nil"/>
                  </w:tcBorders>
                  <w:vAlign w:val="center"/>
                </w:tcPr>
                <w:p w14:paraId="6145C58B">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浓度</w:t>
                  </w:r>
                  <w:r>
                    <w:rPr>
                      <w:rFonts w:hint="eastAsia" w:ascii="Times New Roman" w:hAnsi="Times New Roman" w:eastAsia="宋体" w:cs="Times New Roman"/>
                      <w:color w:val="auto"/>
                      <w:sz w:val="20"/>
                      <w:szCs w:val="20"/>
                      <w:highlight w:val="none"/>
                      <w:lang w:eastAsia="zh-CN"/>
                    </w:rPr>
                    <w:t>（mg/m</w:t>
                  </w:r>
                  <w:r>
                    <w:rPr>
                      <w:rFonts w:hint="eastAsia" w:ascii="Times New Roman" w:hAnsi="Times New Roman" w:eastAsia="宋体" w:cs="Times New Roman"/>
                      <w:color w:val="auto"/>
                      <w:sz w:val="20"/>
                      <w:szCs w:val="20"/>
                      <w:highlight w:val="none"/>
                      <w:vertAlign w:val="superscript"/>
                      <w:lang w:eastAsia="zh-CN"/>
                    </w:rPr>
                    <w:t>3</w:t>
                  </w:r>
                  <w:r>
                    <w:rPr>
                      <w:rFonts w:hint="eastAsia" w:ascii="Times New Roman" w:hAnsi="Times New Roman" w:eastAsia="宋体" w:cs="Times New Roman"/>
                      <w:color w:val="auto"/>
                      <w:sz w:val="20"/>
                      <w:szCs w:val="20"/>
                      <w:highlight w:val="none"/>
                      <w:lang w:val="en-US" w:eastAsia="zh-CN"/>
                    </w:rPr>
                    <w:t>）</w:t>
                  </w:r>
                </w:p>
              </w:tc>
              <w:tc>
                <w:tcPr>
                  <w:tcW w:w="3428" w:type="dxa"/>
                  <w:tcBorders>
                    <w:tl2br w:val="nil"/>
                    <w:tr2bl w:val="nil"/>
                  </w:tcBorders>
                  <w:vAlign w:val="center"/>
                </w:tcPr>
                <w:p w14:paraId="763596C0">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8.9</w:t>
                  </w:r>
                </w:p>
              </w:tc>
              <w:tc>
                <w:tcPr>
                  <w:tcW w:w="1486" w:type="dxa"/>
                  <w:tcBorders>
                    <w:tl2br w:val="nil"/>
                    <w:tr2bl w:val="nil"/>
                  </w:tcBorders>
                  <w:vAlign w:val="center"/>
                </w:tcPr>
                <w:p w14:paraId="174B9847">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w:t>
                  </w:r>
                </w:p>
              </w:tc>
            </w:tr>
            <w:tr w14:paraId="29106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0F37199F">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64EA4099">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排放量</w:t>
                  </w:r>
                  <w:r>
                    <w:rPr>
                      <w:rFonts w:hint="eastAsia" w:ascii="Times New Roman" w:hAnsi="Times New Roman" w:eastAsia="宋体" w:cs="Times New Roman"/>
                      <w:color w:val="auto"/>
                      <w:sz w:val="20"/>
                      <w:szCs w:val="20"/>
                      <w:highlight w:val="none"/>
                      <w:lang w:eastAsia="zh-CN"/>
                    </w:rPr>
                    <w:t>（</w:t>
                  </w:r>
                  <w:r>
                    <w:rPr>
                      <w:rFonts w:hint="eastAsia" w:ascii="Times New Roman" w:hAnsi="Times New Roman" w:eastAsia="宋体" w:cs="Times New Roman"/>
                      <w:color w:val="auto"/>
                      <w:sz w:val="20"/>
                      <w:szCs w:val="20"/>
                      <w:highlight w:val="none"/>
                      <w:lang w:val="en-US" w:eastAsia="zh-CN"/>
                    </w:rPr>
                    <w:t>kg/h</w:t>
                  </w:r>
                  <w:r>
                    <w:rPr>
                      <w:rFonts w:hint="eastAsia" w:ascii="Times New Roman" w:hAnsi="Times New Roman" w:eastAsia="宋体" w:cs="Times New Roman"/>
                      <w:color w:val="auto"/>
                      <w:sz w:val="20"/>
                      <w:szCs w:val="20"/>
                      <w:highlight w:val="none"/>
                      <w:lang w:eastAsia="zh-CN"/>
                    </w:rPr>
                    <w:t>）</w:t>
                  </w:r>
                </w:p>
              </w:tc>
              <w:tc>
                <w:tcPr>
                  <w:tcW w:w="3428" w:type="dxa"/>
                  <w:tcBorders>
                    <w:tl2br w:val="nil"/>
                    <w:tr2bl w:val="nil"/>
                  </w:tcBorders>
                  <w:vAlign w:val="center"/>
                </w:tcPr>
                <w:p w14:paraId="20603BDF">
                  <w:pPr>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0.2</w:t>
                  </w:r>
                  <w:r>
                    <w:rPr>
                      <w:rFonts w:hint="eastAsia" w:ascii="Times New Roman" w:hAnsi="Times New Roman" w:eastAsia="宋体" w:cs="Times New Roman"/>
                      <w:color w:val="auto"/>
                      <w:sz w:val="20"/>
                      <w:szCs w:val="20"/>
                      <w:highlight w:val="none"/>
                      <w:lang w:val="en-US" w:eastAsia="zh-CN"/>
                    </w:rPr>
                    <w:t>84</w:t>
                  </w:r>
                </w:p>
              </w:tc>
              <w:tc>
                <w:tcPr>
                  <w:tcW w:w="1486" w:type="dxa"/>
                  <w:tcBorders>
                    <w:tl2br w:val="nil"/>
                    <w:tr2bl w:val="nil"/>
                  </w:tcBorders>
                  <w:vAlign w:val="center"/>
                </w:tcPr>
                <w:p w14:paraId="117EB2C5">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0.23</w:t>
                  </w:r>
                </w:p>
              </w:tc>
            </w:tr>
            <w:tr w14:paraId="2AB4F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25B0BF74">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4E31A752">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核算方法</w:t>
                  </w:r>
                </w:p>
              </w:tc>
              <w:tc>
                <w:tcPr>
                  <w:tcW w:w="3428" w:type="dxa"/>
                  <w:tcBorders>
                    <w:tl2br w:val="nil"/>
                    <w:tr2bl w:val="nil"/>
                  </w:tcBorders>
                  <w:vAlign w:val="center"/>
                </w:tcPr>
                <w:p w14:paraId="24A7A50E">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排放源统计调查产排污核算方法和系数手册</w:t>
                  </w:r>
                </w:p>
              </w:tc>
              <w:tc>
                <w:tcPr>
                  <w:tcW w:w="1486" w:type="dxa"/>
                  <w:tcBorders>
                    <w:tl2br w:val="nil"/>
                    <w:tr2bl w:val="nil"/>
                  </w:tcBorders>
                  <w:vAlign w:val="center"/>
                </w:tcPr>
                <w:p w14:paraId="03EB3D1A">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类比法</w:t>
                  </w:r>
                </w:p>
              </w:tc>
            </w:tr>
            <w:tr w14:paraId="7A1BE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39" w:type="dxa"/>
                  <w:gridSpan w:val="2"/>
                  <w:tcBorders>
                    <w:tl2br w:val="nil"/>
                    <w:tr2bl w:val="nil"/>
                  </w:tcBorders>
                  <w:vAlign w:val="center"/>
                </w:tcPr>
                <w:p w14:paraId="214D0FBD">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年运行时间</w:t>
                  </w:r>
                  <w:r>
                    <w:rPr>
                      <w:rFonts w:hint="eastAsia" w:ascii="Times New Roman" w:hAnsi="Times New Roman" w:eastAsia="宋体" w:cs="Times New Roman"/>
                      <w:color w:val="auto"/>
                      <w:sz w:val="20"/>
                      <w:szCs w:val="20"/>
                      <w:highlight w:val="none"/>
                      <w:lang w:eastAsia="zh-CN"/>
                    </w:rPr>
                    <w:t>（</w:t>
                  </w:r>
                  <w:r>
                    <w:rPr>
                      <w:rFonts w:hint="eastAsia" w:ascii="Times New Roman" w:hAnsi="Times New Roman" w:eastAsia="宋体" w:cs="Times New Roman"/>
                      <w:color w:val="auto"/>
                      <w:sz w:val="20"/>
                      <w:szCs w:val="20"/>
                      <w:highlight w:val="none"/>
                      <w:lang w:val="en-US" w:eastAsia="zh-CN"/>
                    </w:rPr>
                    <w:t>h/a</w:t>
                  </w:r>
                  <w:r>
                    <w:rPr>
                      <w:rFonts w:hint="eastAsia" w:ascii="Times New Roman" w:hAnsi="Times New Roman" w:eastAsia="宋体" w:cs="Times New Roman"/>
                      <w:color w:val="auto"/>
                      <w:sz w:val="20"/>
                      <w:szCs w:val="20"/>
                      <w:highlight w:val="none"/>
                      <w:lang w:eastAsia="zh-CN"/>
                    </w:rPr>
                    <w:t>）</w:t>
                  </w:r>
                </w:p>
              </w:tc>
              <w:tc>
                <w:tcPr>
                  <w:tcW w:w="3428" w:type="dxa"/>
                  <w:tcBorders>
                    <w:tl2br w:val="nil"/>
                    <w:tr2bl w:val="nil"/>
                  </w:tcBorders>
                  <w:vAlign w:val="center"/>
                </w:tcPr>
                <w:p w14:paraId="42210250">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2000</w:t>
                  </w:r>
                </w:p>
              </w:tc>
              <w:tc>
                <w:tcPr>
                  <w:tcW w:w="1486" w:type="dxa"/>
                  <w:tcBorders>
                    <w:tl2br w:val="nil"/>
                    <w:tr2bl w:val="nil"/>
                  </w:tcBorders>
                  <w:vAlign w:val="center"/>
                </w:tcPr>
                <w:p w14:paraId="02EF00FD">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2000</w:t>
                  </w:r>
                </w:p>
              </w:tc>
            </w:tr>
            <w:tr w14:paraId="50E72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239" w:type="dxa"/>
                  <w:gridSpan w:val="2"/>
                  <w:tcBorders>
                    <w:tl2br w:val="nil"/>
                    <w:tr2bl w:val="nil"/>
                  </w:tcBorders>
                  <w:vAlign w:val="center"/>
                </w:tcPr>
                <w:p w14:paraId="5E476ABA">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年</w:t>
                  </w:r>
                  <w:r>
                    <w:rPr>
                      <w:rFonts w:hint="eastAsia" w:ascii="Times New Roman" w:hAnsi="Times New Roman" w:eastAsia="宋体" w:cs="Times New Roman"/>
                      <w:color w:val="auto"/>
                      <w:sz w:val="20"/>
                      <w:szCs w:val="20"/>
                      <w:highlight w:val="none"/>
                      <w:lang w:eastAsia="zh-CN"/>
                    </w:rPr>
                    <w:t>排放量（t/a）</w:t>
                  </w:r>
                </w:p>
              </w:tc>
              <w:tc>
                <w:tcPr>
                  <w:tcW w:w="3428" w:type="dxa"/>
                  <w:tcBorders>
                    <w:tl2br w:val="nil"/>
                    <w:tr2bl w:val="nil"/>
                  </w:tcBorders>
                  <w:vAlign w:val="center"/>
                </w:tcPr>
                <w:p w14:paraId="7E272B7C">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0.57</w:t>
                  </w:r>
                </w:p>
              </w:tc>
              <w:tc>
                <w:tcPr>
                  <w:tcW w:w="1486" w:type="dxa"/>
                  <w:tcBorders>
                    <w:tl2br w:val="nil"/>
                    <w:tr2bl w:val="nil"/>
                  </w:tcBorders>
                  <w:vAlign w:val="center"/>
                </w:tcPr>
                <w:p w14:paraId="4587720E">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0.463</w:t>
                  </w:r>
                </w:p>
              </w:tc>
            </w:tr>
            <w:tr w14:paraId="35DA0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934" w:type="dxa"/>
                  <w:vMerge w:val="restart"/>
                  <w:tcBorders>
                    <w:tl2br w:val="nil"/>
                    <w:tr2bl w:val="nil"/>
                  </w:tcBorders>
                  <w:vAlign w:val="center"/>
                </w:tcPr>
                <w:p w14:paraId="31E1C7B3">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排放参数</w:t>
                  </w:r>
                </w:p>
              </w:tc>
              <w:tc>
                <w:tcPr>
                  <w:tcW w:w="2305" w:type="dxa"/>
                  <w:tcBorders>
                    <w:tl2br w:val="nil"/>
                    <w:tr2bl w:val="nil"/>
                  </w:tcBorders>
                  <w:vAlign w:val="center"/>
                </w:tcPr>
                <w:p w14:paraId="722781F9">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排气筒</w:t>
                  </w:r>
                  <w:r>
                    <w:rPr>
                      <w:rFonts w:ascii="Times New Roman" w:hAnsi="Times New Roman" w:eastAsia="宋体" w:cs="Times New Roman"/>
                      <w:color w:val="auto"/>
                      <w:sz w:val="20"/>
                      <w:szCs w:val="20"/>
                      <w:highlight w:val="none"/>
                      <w:lang w:eastAsia="zh-CN"/>
                    </w:rPr>
                    <w:t>高度</w:t>
                  </w:r>
                  <w:r>
                    <w:rPr>
                      <w:rFonts w:hint="eastAsia" w:ascii="Times New Roman" w:hAnsi="Times New Roman" w:eastAsia="宋体" w:cs="Times New Roman"/>
                      <w:color w:val="auto"/>
                      <w:sz w:val="20"/>
                      <w:szCs w:val="20"/>
                      <w:highlight w:val="none"/>
                      <w:lang w:eastAsia="zh-CN"/>
                    </w:rPr>
                    <w:t>（m）</w:t>
                  </w:r>
                </w:p>
              </w:tc>
              <w:tc>
                <w:tcPr>
                  <w:tcW w:w="3428" w:type="dxa"/>
                  <w:tcBorders>
                    <w:tl2br w:val="nil"/>
                    <w:tr2bl w:val="nil"/>
                  </w:tcBorders>
                  <w:vAlign w:val="center"/>
                </w:tcPr>
                <w:p w14:paraId="5DBA490C">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15</w:t>
                  </w:r>
                </w:p>
              </w:tc>
              <w:tc>
                <w:tcPr>
                  <w:tcW w:w="1486" w:type="dxa"/>
                  <w:tcBorders>
                    <w:tl2br w:val="nil"/>
                    <w:tr2bl w:val="nil"/>
                  </w:tcBorders>
                  <w:vAlign w:val="center"/>
                </w:tcPr>
                <w:p w14:paraId="20302E30">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1A8C3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2E27991D">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713C2D0E">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出口</w:t>
                  </w:r>
                  <w:r>
                    <w:rPr>
                      <w:rFonts w:hint="eastAsia" w:ascii="Times New Roman" w:hAnsi="Times New Roman" w:eastAsia="宋体" w:cs="Times New Roman"/>
                      <w:color w:val="auto"/>
                      <w:sz w:val="20"/>
                      <w:szCs w:val="20"/>
                      <w:highlight w:val="none"/>
                      <w:lang w:eastAsia="zh-CN"/>
                    </w:rPr>
                    <w:t>内径（m）</w:t>
                  </w:r>
                </w:p>
              </w:tc>
              <w:tc>
                <w:tcPr>
                  <w:tcW w:w="3428" w:type="dxa"/>
                  <w:tcBorders>
                    <w:tl2br w:val="nil"/>
                    <w:tr2bl w:val="nil"/>
                  </w:tcBorders>
                  <w:vAlign w:val="center"/>
                </w:tcPr>
                <w:p w14:paraId="37B79EE3">
                  <w:pPr>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1486" w:type="dxa"/>
                  <w:tcBorders>
                    <w:tl2br w:val="nil"/>
                    <w:tr2bl w:val="nil"/>
                  </w:tcBorders>
                  <w:vAlign w:val="center"/>
                </w:tcPr>
                <w:p w14:paraId="720D568B">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607EB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72149D28">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5B716589">
                  <w:pPr>
                    <w:jc w:val="center"/>
                    <w:rPr>
                      <w:rFonts w:ascii="Times New Roman" w:hAnsi="Times New Roman" w:eastAsia="宋体" w:cs="Times New Roman"/>
                      <w:color w:val="auto"/>
                      <w:sz w:val="20"/>
                      <w:szCs w:val="20"/>
                      <w:highlight w:val="none"/>
                      <w:lang w:eastAsia="zh-CN"/>
                    </w:rPr>
                  </w:pPr>
                  <w:r>
                    <w:rPr>
                      <w:rFonts w:ascii="Times New Roman" w:hAnsi="Times New Roman" w:eastAsia="宋体" w:cs="Times New Roman"/>
                      <w:color w:val="auto"/>
                      <w:sz w:val="20"/>
                      <w:szCs w:val="20"/>
                      <w:highlight w:val="none"/>
                      <w:lang w:eastAsia="zh-CN"/>
                    </w:rPr>
                    <w:t>温度</w:t>
                  </w:r>
                  <w:r>
                    <w:rPr>
                      <w:rFonts w:hint="eastAsia" w:ascii="Times New Roman" w:hAnsi="Times New Roman" w:eastAsia="宋体" w:cs="Times New Roman"/>
                      <w:color w:val="auto"/>
                      <w:sz w:val="20"/>
                      <w:szCs w:val="20"/>
                      <w:highlight w:val="none"/>
                      <w:lang w:eastAsia="zh-CN"/>
                    </w:rPr>
                    <w:t>（℃）</w:t>
                  </w:r>
                </w:p>
              </w:tc>
              <w:tc>
                <w:tcPr>
                  <w:tcW w:w="3428" w:type="dxa"/>
                  <w:tcBorders>
                    <w:tl2br w:val="nil"/>
                    <w:tr2bl w:val="nil"/>
                  </w:tcBorders>
                  <w:vAlign w:val="center"/>
                </w:tcPr>
                <w:p w14:paraId="4EA63289">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w:t>
                  </w:r>
                </w:p>
              </w:tc>
              <w:tc>
                <w:tcPr>
                  <w:tcW w:w="1486" w:type="dxa"/>
                  <w:tcBorders>
                    <w:tl2br w:val="nil"/>
                    <w:tr2bl w:val="nil"/>
                  </w:tcBorders>
                  <w:vAlign w:val="center"/>
                </w:tcPr>
                <w:p w14:paraId="3D2DFD80">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4EDB1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30163CD3">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23DC064C">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编号及名称</w:t>
                  </w:r>
                </w:p>
              </w:tc>
              <w:tc>
                <w:tcPr>
                  <w:tcW w:w="3428" w:type="dxa"/>
                  <w:tcBorders>
                    <w:tl2br w:val="nil"/>
                    <w:tr2bl w:val="nil"/>
                  </w:tcBorders>
                  <w:vAlign w:val="center"/>
                </w:tcPr>
                <w:p w14:paraId="1F9D6466">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DA001</w:t>
                  </w:r>
                </w:p>
              </w:tc>
              <w:tc>
                <w:tcPr>
                  <w:tcW w:w="1486" w:type="dxa"/>
                  <w:tcBorders>
                    <w:tl2br w:val="nil"/>
                    <w:tr2bl w:val="nil"/>
                  </w:tcBorders>
                  <w:vAlign w:val="center"/>
                </w:tcPr>
                <w:p w14:paraId="79B2FAAE">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0D5AF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33344ADF">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09E01CA9">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类型</w:t>
                  </w:r>
                </w:p>
              </w:tc>
              <w:tc>
                <w:tcPr>
                  <w:tcW w:w="3428" w:type="dxa"/>
                  <w:tcBorders>
                    <w:tl2br w:val="nil"/>
                    <w:tr2bl w:val="nil"/>
                  </w:tcBorders>
                  <w:vAlign w:val="center"/>
                </w:tcPr>
                <w:p w14:paraId="58DBE0A0">
                  <w:pPr>
                    <w:jc w:val="center"/>
                    <w:rPr>
                      <w:rFonts w:hint="eastAsia" w:ascii="Times New Roman" w:hAnsi="Times New Roman" w:eastAsia="宋体" w:cs="Times New Roman"/>
                      <w:color w:val="auto"/>
                      <w:sz w:val="20"/>
                      <w:szCs w:val="20"/>
                      <w:highlight w:val="none"/>
                      <w:lang w:eastAsia="zh-CN"/>
                    </w:rPr>
                  </w:pPr>
                  <w:r>
                    <w:rPr>
                      <w:rFonts w:ascii="Times New Roman" w:hAnsi="Times New Roman" w:eastAsia="宋体" w:cs="Times New Roman"/>
                      <w:color w:val="auto"/>
                      <w:sz w:val="20"/>
                      <w:szCs w:val="20"/>
                      <w:highlight w:val="none"/>
                      <w:lang w:eastAsia="zh-CN"/>
                    </w:rPr>
                    <w:t>立式排放口</w:t>
                  </w:r>
                </w:p>
              </w:tc>
              <w:tc>
                <w:tcPr>
                  <w:tcW w:w="1486" w:type="dxa"/>
                  <w:tcBorders>
                    <w:tl2br w:val="nil"/>
                    <w:tr2bl w:val="nil"/>
                  </w:tcBorders>
                  <w:vAlign w:val="center"/>
                </w:tcPr>
                <w:p w14:paraId="40621C97">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72F08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4" w:type="dxa"/>
                  <w:vMerge w:val="continue"/>
                  <w:tcBorders>
                    <w:tl2br w:val="nil"/>
                    <w:tr2bl w:val="nil"/>
                  </w:tcBorders>
                  <w:vAlign w:val="center"/>
                </w:tcPr>
                <w:p w14:paraId="79E449A7">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39866C81">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地理坐标</w:t>
                  </w:r>
                </w:p>
              </w:tc>
              <w:tc>
                <w:tcPr>
                  <w:tcW w:w="3428" w:type="dxa"/>
                  <w:tcBorders>
                    <w:tl2br w:val="nil"/>
                    <w:tr2bl w:val="nil"/>
                  </w:tcBorders>
                  <w:vAlign w:val="center"/>
                </w:tcPr>
                <w:p w14:paraId="0DD8506A">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东经：113°9′36.33″</w:t>
                  </w:r>
                </w:p>
                <w:p w14:paraId="3C4D1558">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北纬：36°22′26.23″</w:t>
                  </w:r>
                </w:p>
              </w:tc>
              <w:tc>
                <w:tcPr>
                  <w:tcW w:w="1486" w:type="dxa"/>
                  <w:tcBorders>
                    <w:tl2br w:val="nil"/>
                    <w:tr2bl w:val="nil"/>
                  </w:tcBorders>
                  <w:vAlign w:val="center"/>
                </w:tcPr>
                <w:p w14:paraId="73867C34">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w:t>
                  </w:r>
                </w:p>
              </w:tc>
            </w:tr>
            <w:tr w14:paraId="7DCD7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239" w:type="dxa"/>
                  <w:gridSpan w:val="2"/>
                  <w:tcBorders>
                    <w:tl2br w:val="nil"/>
                    <w:tr2bl w:val="nil"/>
                  </w:tcBorders>
                  <w:vAlign w:val="center"/>
                </w:tcPr>
                <w:p w14:paraId="44FFC209">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排放标准</w:t>
                  </w:r>
                </w:p>
              </w:tc>
              <w:tc>
                <w:tcPr>
                  <w:tcW w:w="3428" w:type="dxa"/>
                  <w:tcBorders>
                    <w:tl2br w:val="nil"/>
                    <w:tr2bl w:val="nil"/>
                  </w:tcBorders>
                  <w:vAlign w:val="center"/>
                </w:tcPr>
                <w:p w14:paraId="66E5C3A0">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r>
                    <w:rPr>
                      <w:rFonts w:hint="eastAsia" w:ascii="Times New Roman" w:hAnsi="Times New Roman" w:eastAsia="宋体" w:cs="Times New Roman"/>
                      <w:color w:val="auto"/>
                      <w:sz w:val="20"/>
                      <w:szCs w:val="20"/>
                      <w:highlight w:val="none"/>
                      <w:lang w:val="en-US" w:eastAsia="zh-CN"/>
                    </w:rPr>
                    <w:fldChar w:fldCharType="begin"/>
                  </w:r>
                  <w:r>
                    <w:rPr>
                      <w:rFonts w:hint="eastAsia" w:ascii="Times New Roman" w:hAnsi="Times New Roman" w:eastAsia="宋体" w:cs="Times New Roman"/>
                      <w:color w:val="auto"/>
                      <w:sz w:val="20"/>
                      <w:szCs w:val="20"/>
                      <w:highlight w:val="none"/>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0"/>
                      <w:szCs w:val="20"/>
                      <w:highlight w:val="none"/>
                      <w:lang w:val="en-US" w:eastAsia="zh-CN"/>
                    </w:rPr>
                    <w:fldChar w:fldCharType="separate"/>
                  </w:r>
                  <w:r>
                    <w:rPr>
                      <w:rFonts w:hint="eastAsia" w:ascii="Times New Roman" w:hAnsi="Times New Roman" w:eastAsia="宋体" w:cs="Times New Roman"/>
                      <w:color w:val="auto"/>
                      <w:sz w:val="20"/>
                      <w:szCs w:val="20"/>
                      <w:highlight w:val="none"/>
                      <w:lang w:val="en-US" w:eastAsia="zh-CN"/>
                    </w:rPr>
                    <w:t>大气污染物综合排放标准</w:t>
                  </w:r>
                  <w:r>
                    <w:rPr>
                      <w:rFonts w:hint="eastAsia" w:ascii="Times New Roman" w:hAnsi="Times New Roman" w:eastAsia="宋体" w:cs="Times New Roman"/>
                      <w:color w:val="auto"/>
                      <w:sz w:val="20"/>
                      <w:szCs w:val="20"/>
                      <w:highlight w:val="none"/>
                      <w:lang w:val="en-US" w:eastAsia="zh-CN"/>
                    </w:rPr>
                    <w:fldChar w:fldCharType="end"/>
                  </w:r>
                  <w:r>
                    <w:rPr>
                      <w:rFonts w:hint="eastAsia" w:ascii="Times New Roman" w:hAnsi="Times New Roman" w:eastAsia="宋体" w:cs="Times New Roman"/>
                      <w:color w:val="auto"/>
                      <w:sz w:val="20"/>
                      <w:szCs w:val="20"/>
                      <w:highlight w:val="none"/>
                      <w:lang w:val="en-US" w:eastAsia="zh-CN"/>
                    </w:rPr>
                    <w:t>》（GB16297-1996）</w:t>
                  </w:r>
                </w:p>
              </w:tc>
              <w:tc>
                <w:tcPr>
                  <w:tcW w:w="1486" w:type="dxa"/>
                  <w:tcBorders>
                    <w:tl2br w:val="nil"/>
                    <w:tr2bl w:val="nil"/>
                  </w:tcBorders>
                  <w:vAlign w:val="center"/>
                </w:tcPr>
                <w:p w14:paraId="24BF2D8C">
                  <w:pPr>
                    <w:jc w:val="center"/>
                    <w:rPr>
                      <w:rFonts w:hint="eastAsia" w:ascii="Times New Roman" w:hAnsi="Times New Roman" w:eastAsia="宋体" w:cs="Times New Roman"/>
                      <w:color w:val="auto"/>
                      <w:sz w:val="20"/>
                      <w:szCs w:val="20"/>
                      <w:highlight w:val="none"/>
                      <w:lang w:val="en-US" w:eastAsia="zh-CN"/>
                    </w:rPr>
                  </w:pPr>
                </w:p>
              </w:tc>
            </w:tr>
            <w:tr w14:paraId="396F3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restart"/>
                  <w:tcBorders>
                    <w:tl2br w:val="nil"/>
                    <w:tr2bl w:val="nil"/>
                  </w:tcBorders>
                  <w:vAlign w:val="center"/>
                </w:tcPr>
                <w:p w14:paraId="220F40BE">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监测要求</w:t>
                  </w:r>
                </w:p>
              </w:tc>
              <w:tc>
                <w:tcPr>
                  <w:tcW w:w="2305" w:type="dxa"/>
                  <w:tcBorders>
                    <w:tl2br w:val="nil"/>
                    <w:tr2bl w:val="nil"/>
                  </w:tcBorders>
                  <w:vAlign w:val="center"/>
                </w:tcPr>
                <w:p w14:paraId="0D7A07AC">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监测点位</w:t>
                  </w:r>
                </w:p>
              </w:tc>
              <w:tc>
                <w:tcPr>
                  <w:tcW w:w="3428" w:type="dxa"/>
                  <w:tcBorders>
                    <w:tl2br w:val="nil"/>
                    <w:tr2bl w:val="nil"/>
                  </w:tcBorders>
                  <w:vAlign w:val="center"/>
                </w:tcPr>
                <w:p w14:paraId="5A2CBB7B">
                  <w:pPr>
                    <w:jc w:val="center"/>
                    <w:rPr>
                      <w:rFonts w:ascii="Times New Roman" w:hAnsi="Times New Roman" w:eastAsia="宋体" w:cs="Times New Roman"/>
                      <w:color w:val="auto"/>
                      <w:sz w:val="20"/>
                      <w:szCs w:val="20"/>
                      <w:highlight w:val="none"/>
                      <w:lang w:eastAsia="zh-CN"/>
                    </w:rPr>
                  </w:pPr>
                  <w:r>
                    <w:rPr>
                      <w:rFonts w:ascii="Times New Roman" w:hAnsi="Times New Roman" w:eastAsia="宋体" w:cs="Times New Roman"/>
                      <w:color w:val="auto"/>
                      <w:sz w:val="20"/>
                      <w:szCs w:val="20"/>
                      <w:highlight w:val="none"/>
                      <w:lang w:eastAsia="zh-CN"/>
                    </w:rPr>
                    <w:t>排放口</w:t>
                  </w:r>
                </w:p>
              </w:tc>
              <w:tc>
                <w:tcPr>
                  <w:tcW w:w="1486" w:type="dxa"/>
                  <w:tcBorders>
                    <w:tl2br w:val="nil"/>
                    <w:tr2bl w:val="nil"/>
                  </w:tcBorders>
                  <w:vAlign w:val="center"/>
                </w:tcPr>
                <w:p w14:paraId="05A36B86">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厂界</w:t>
                  </w:r>
                </w:p>
              </w:tc>
            </w:tr>
            <w:tr w14:paraId="09967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22D2C773">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1A60FBEF">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监测因子</w:t>
                  </w:r>
                </w:p>
              </w:tc>
              <w:tc>
                <w:tcPr>
                  <w:tcW w:w="3428" w:type="dxa"/>
                  <w:tcBorders>
                    <w:tl2br w:val="nil"/>
                    <w:tr2bl w:val="nil"/>
                  </w:tcBorders>
                  <w:vAlign w:val="center"/>
                </w:tcPr>
                <w:p w14:paraId="21359257">
                  <w:pPr>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颗粒物</w:t>
                  </w:r>
                </w:p>
              </w:tc>
              <w:tc>
                <w:tcPr>
                  <w:tcW w:w="1486" w:type="dxa"/>
                  <w:tcBorders>
                    <w:tl2br w:val="nil"/>
                    <w:tr2bl w:val="nil"/>
                  </w:tcBorders>
                  <w:vAlign w:val="center"/>
                </w:tcPr>
                <w:p w14:paraId="73CD3047">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颗粒物</w:t>
                  </w:r>
                </w:p>
              </w:tc>
            </w:tr>
            <w:tr w14:paraId="4544E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34" w:type="dxa"/>
                  <w:vMerge w:val="continue"/>
                  <w:tcBorders>
                    <w:tl2br w:val="nil"/>
                    <w:tr2bl w:val="nil"/>
                  </w:tcBorders>
                  <w:vAlign w:val="center"/>
                </w:tcPr>
                <w:p w14:paraId="232EBD45">
                  <w:pPr>
                    <w:jc w:val="center"/>
                    <w:rPr>
                      <w:rFonts w:ascii="Times New Roman" w:hAnsi="Times New Roman" w:eastAsia="宋体" w:cs="Times New Roman"/>
                      <w:color w:val="auto"/>
                      <w:sz w:val="20"/>
                      <w:szCs w:val="20"/>
                      <w:highlight w:val="none"/>
                      <w:lang w:eastAsia="zh-CN"/>
                    </w:rPr>
                  </w:pPr>
                </w:p>
              </w:tc>
              <w:tc>
                <w:tcPr>
                  <w:tcW w:w="2305" w:type="dxa"/>
                  <w:tcBorders>
                    <w:tl2br w:val="nil"/>
                    <w:tr2bl w:val="nil"/>
                  </w:tcBorders>
                  <w:vAlign w:val="center"/>
                </w:tcPr>
                <w:p w14:paraId="423C2CEF">
                  <w:pPr>
                    <w:jc w:val="center"/>
                    <w:rPr>
                      <w:rFonts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监测频次</w:t>
                  </w:r>
                </w:p>
              </w:tc>
              <w:tc>
                <w:tcPr>
                  <w:tcW w:w="3428" w:type="dxa"/>
                  <w:tcBorders>
                    <w:tl2br w:val="nil"/>
                    <w:tr2bl w:val="nil"/>
                  </w:tcBorders>
                  <w:vAlign w:val="center"/>
                </w:tcPr>
                <w:p w14:paraId="22D7C9BA">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1次/年</w:t>
                  </w:r>
                </w:p>
              </w:tc>
              <w:tc>
                <w:tcPr>
                  <w:tcW w:w="1486" w:type="dxa"/>
                  <w:tcBorders>
                    <w:tl2br w:val="nil"/>
                    <w:tr2bl w:val="nil"/>
                  </w:tcBorders>
                  <w:vAlign w:val="center"/>
                </w:tcPr>
                <w:p w14:paraId="6B20C4EF">
                  <w:pPr>
                    <w:jc w:val="center"/>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1次/年</w:t>
                  </w:r>
                </w:p>
              </w:tc>
            </w:tr>
          </w:tbl>
          <w:p w14:paraId="5D7C8C8E">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（2）废气排放可行性分析</w:t>
            </w:r>
          </w:p>
          <w:p w14:paraId="2D6D66C8">
            <w:pPr>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1）废气治理措施</w:t>
            </w:r>
          </w:p>
          <w:p w14:paraId="3FC0D4F6">
            <w:pPr>
              <w:spacing w:line="360" w:lineRule="auto"/>
              <w:ind w:firstLine="480" w:firstLineChars="200"/>
              <w:jc w:val="both"/>
              <w:rPr>
                <w:rFonts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①</w:t>
            </w:r>
            <w:r>
              <w:rPr>
                <w:rFonts w:hint="eastAsia" w:ascii="Times New Roman" w:hAnsi="Times New Roman" w:eastAsia="宋体" w:cs="Times New Roman"/>
                <w:color w:val="auto"/>
                <w:sz w:val="24"/>
                <w:highlight w:val="none"/>
                <w:lang w:eastAsia="zh-CN"/>
              </w:rPr>
              <w:t>布袋除尘</w:t>
            </w:r>
          </w:p>
          <w:p w14:paraId="066EF34D">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highlight w:val="none"/>
                <w:lang w:eastAsia="zh-CN"/>
              </w:rPr>
              <w:t>布袋除尘器的工作原理是含尘气流从下部孔板进入圆筒形滤袋内，在通过滤料的孔隙时，粉尘被捕集于滤料上，透过滤料的清洁气体由排出口排出。沉积在滤料上的粉尘，可在机械振动的作用下从滤料表面脱落，落入灰斗中。用以捕集非粘结非纤维性的工业粉尘，捕获粉尘微粒可达0.1微米。袋式除尘器具有很高的净化效率，捕集细微的粉尘效率可达99</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lang w:eastAsia="zh-CN"/>
              </w:rPr>
              <w:t>以上，其效率比较高。对于微细的干燥颗粒物，采用袋式除尘器捕集是适宜的</w:t>
            </w:r>
            <w:r>
              <w:rPr>
                <w:rFonts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在采用布袋除尘器后，粉尘排放浓度不大于10mg/m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，实现达标排放。</w:t>
            </w:r>
          </w:p>
          <w:p w14:paraId="1FD786D5">
            <w:pPr>
              <w:jc w:val="center"/>
              <w:rPr>
                <w:rFonts w:ascii="Times New Roman" w:hAnsi="Times New Roman" w:eastAsia="宋体" w:cs="Times New Roman"/>
                <w:b/>
                <w:bCs/>
                <w:color w:val="auto"/>
                <w:sz w:val="21"/>
                <w:szCs w:val="21"/>
                <w:highlight w:val="none"/>
                <w:lang w:eastAsia="zh-CN"/>
              </w:rPr>
            </w:pPr>
            <w:r>
              <w:rPr>
                <w:rFonts w:ascii="Times New Roman" w:hAnsi="Times New Roman" w:eastAsia="宋体" w:cs="Times New Roman"/>
                <w:b/>
                <w:bCs/>
                <w:color w:val="auto"/>
                <w:sz w:val="21"/>
                <w:szCs w:val="21"/>
                <w:highlight w:val="none"/>
                <w:lang w:eastAsia="zh-CN"/>
              </w:rPr>
              <w:t>表</w:t>
            </w:r>
            <w:r>
              <w:rPr>
                <w:rFonts w:hint="eastAsia" w:ascii="Times New Roman" w:hAnsi="Times New Roman" w:eastAsia="宋体" w:cs="Times New Roman"/>
                <w:b/>
                <w:bCs/>
                <w:color w:val="auto"/>
                <w:sz w:val="21"/>
                <w:szCs w:val="21"/>
                <w:highlight w:val="none"/>
                <w:lang w:eastAsia="zh-CN"/>
              </w:rPr>
              <w:t>4</w:t>
            </w:r>
            <w:r>
              <w:rPr>
                <w:rFonts w:hint="eastAsia" w:ascii="Times New Roman" w:hAnsi="Times New Roman" w:eastAsia="宋体" w:cs="Times New Roman"/>
                <w:b/>
                <w:bCs/>
                <w:color w:val="auto"/>
                <w:sz w:val="21"/>
                <w:szCs w:val="21"/>
                <w:highlight w:val="none"/>
                <w:lang w:val="en-US" w:eastAsia="zh-CN"/>
              </w:rPr>
              <w:t xml:space="preserve">.4-5  </w:t>
            </w:r>
            <w:r>
              <w:rPr>
                <w:rFonts w:ascii="Times New Roman" w:hAnsi="Times New Roman" w:eastAsia="宋体" w:cs="Times New Roman"/>
                <w:b/>
                <w:bCs/>
                <w:color w:val="auto"/>
                <w:sz w:val="21"/>
                <w:szCs w:val="21"/>
                <w:highlight w:val="none"/>
                <w:lang w:eastAsia="zh-CN"/>
              </w:rPr>
              <w:t>环保设备参数汇总一览表</w:t>
            </w:r>
          </w:p>
          <w:tbl>
            <w:tblPr>
              <w:tblStyle w:val="32"/>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765"/>
              <w:gridCol w:w="878"/>
              <w:gridCol w:w="1144"/>
              <w:gridCol w:w="809"/>
              <w:gridCol w:w="547"/>
              <w:gridCol w:w="827"/>
              <w:gridCol w:w="728"/>
              <w:gridCol w:w="772"/>
              <w:gridCol w:w="647"/>
            </w:tblGrid>
            <w:tr w14:paraId="5C4A3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3" w:type="dxa"/>
                  <w:tcBorders>
                    <w:tl2br w:val="nil"/>
                    <w:tr2bl w:val="nil"/>
                  </w:tcBorders>
                  <w:noWrap/>
                  <w:vAlign w:val="center"/>
                </w:tcPr>
                <w:p w14:paraId="61F385DD">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位置</w:t>
                  </w:r>
                </w:p>
              </w:tc>
              <w:tc>
                <w:tcPr>
                  <w:tcW w:w="765" w:type="dxa"/>
                  <w:tcBorders>
                    <w:tl2br w:val="nil"/>
                    <w:tr2bl w:val="nil"/>
                  </w:tcBorders>
                  <w:noWrap/>
                  <w:vAlign w:val="center"/>
                </w:tcPr>
                <w:p w14:paraId="7F6364A6">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名称</w:t>
                  </w:r>
                </w:p>
              </w:tc>
              <w:tc>
                <w:tcPr>
                  <w:tcW w:w="878" w:type="dxa"/>
                  <w:tcBorders>
                    <w:tl2br w:val="nil"/>
                    <w:tr2bl w:val="nil"/>
                  </w:tcBorders>
                  <w:noWrap/>
                  <w:vAlign w:val="center"/>
                </w:tcPr>
                <w:p w14:paraId="47405335">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过滤面积</w:t>
                  </w:r>
                </w:p>
              </w:tc>
              <w:tc>
                <w:tcPr>
                  <w:tcW w:w="1144" w:type="dxa"/>
                  <w:tcBorders>
                    <w:tl2br w:val="nil"/>
                    <w:tr2bl w:val="nil"/>
                  </w:tcBorders>
                  <w:noWrap/>
                  <w:vAlign w:val="center"/>
                </w:tcPr>
                <w:p w14:paraId="452672A9">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处理风量</w:t>
                  </w:r>
                </w:p>
              </w:tc>
              <w:tc>
                <w:tcPr>
                  <w:tcW w:w="809" w:type="dxa"/>
                  <w:tcBorders>
                    <w:tl2br w:val="nil"/>
                    <w:tr2bl w:val="nil"/>
                  </w:tcBorders>
                  <w:noWrap/>
                  <w:vAlign w:val="center"/>
                </w:tcPr>
                <w:p w14:paraId="58101D41">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过滤风速</w:t>
                  </w:r>
                </w:p>
              </w:tc>
              <w:tc>
                <w:tcPr>
                  <w:tcW w:w="547" w:type="dxa"/>
                  <w:tcBorders>
                    <w:tl2br w:val="nil"/>
                    <w:tr2bl w:val="nil"/>
                  </w:tcBorders>
                  <w:noWrap/>
                  <w:vAlign w:val="center"/>
                </w:tcPr>
                <w:p w14:paraId="5D28CAE8">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材质</w:t>
                  </w:r>
                </w:p>
              </w:tc>
              <w:tc>
                <w:tcPr>
                  <w:tcW w:w="827" w:type="dxa"/>
                  <w:tcBorders>
                    <w:tl2br w:val="nil"/>
                    <w:tr2bl w:val="nil"/>
                  </w:tcBorders>
                  <w:noWrap/>
                  <w:vAlign w:val="center"/>
                </w:tcPr>
                <w:p w14:paraId="700F58F6">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排放浓度</w:t>
                  </w:r>
                </w:p>
              </w:tc>
              <w:tc>
                <w:tcPr>
                  <w:tcW w:w="728" w:type="dxa"/>
                  <w:tcBorders>
                    <w:tl2br w:val="nil"/>
                    <w:tr2bl w:val="nil"/>
                  </w:tcBorders>
                  <w:noWrap/>
                  <w:vAlign w:val="center"/>
                </w:tcPr>
                <w:p w14:paraId="725544B5">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排气筒高度</w:t>
                  </w:r>
                </w:p>
              </w:tc>
              <w:tc>
                <w:tcPr>
                  <w:tcW w:w="772" w:type="dxa"/>
                  <w:tcBorders>
                    <w:tl2br w:val="nil"/>
                    <w:tr2bl w:val="nil"/>
                  </w:tcBorders>
                  <w:noWrap/>
                  <w:vAlign w:val="center"/>
                </w:tcPr>
                <w:p w14:paraId="7A340DE0">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排气筒风速</w:t>
                  </w:r>
                </w:p>
              </w:tc>
              <w:tc>
                <w:tcPr>
                  <w:tcW w:w="647" w:type="dxa"/>
                  <w:tcBorders>
                    <w:tl2br w:val="nil"/>
                    <w:tr2bl w:val="nil"/>
                  </w:tcBorders>
                  <w:noWrap/>
                  <w:vAlign w:val="center"/>
                </w:tcPr>
                <w:p w14:paraId="6193634F">
                  <w:pPr>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排气筒内径</w:t>
                  </w:r>
                </w:p>
              </w:tc>
            </w:tr>
            <w:tr w14:paraId="393B5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1033" w:type="dxa"/>
                  <w:tcBorders>
                    <w:tl2br w:val="nil"/>
                    <w:tr2bl w:val="nil"/>
                  </w:tcBorders>
                  <w:noWrap/>
                  <w:vAlign w:val="center"/>
                </w:tcPr>
                <w:p w14:paraId="3C3C7C1C">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上料+破碎</w:t>
                  </w:r>
                </w:p>
              </w:tc>
              <w:tc>
                <w:tcPr>
                  <w:tcW w:w="765" w:type="dxa"/>
                  <w:tcBorders>
                    <w:tl2br w:val="nil"/>
                    <w:tr2bl w:val="nil"/>
                  </w:tcBorders>
                  <w:noWrap/>
                  <w:vAlign w:val="center"/>
                </w:tcPr>
                <w:p w14:paraId="76E3248A">
                  <w:pPr>
                    <w:spacing w:line="240" w:lineRule="exact"/>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布袋</w:t>
                  </w:r>
                  <w:r>
                    <w:rPr>
                      <w:rFonts w:ascii="Times New Roman" w:hAnsi="Times New Roman" w:eastAsia="宋体" w:cs="Times New Roman"/>
                      <w:color w:val="auto"/>
                      <w:sz w:val="21"/>
                      <w:szCs w:val="21"/>
                      <w:highlight w:val="none"/>
                      <w:lang w:eastAsia="zh-CN"/>
                    </w:rPr>
                    <w:t>除尘器</w:t>
                  </w:r>
                </w:p>
              </w:tc>
              <w:tc>
                <w:tcPr>
                  <w:tcW w:w="878" w:type="dxa"/>
                  <w:tcBorders>
                    <w:tl2br w:val="nil"/>
                    <w:tr2bl w:val="nil"/>
                  </w:tcBorders>
                  <w:noWrap/>
                  <w:vAlign w:val="center"/>
                </w:tcPr>
                <w:p w14:paraId="0DC50445">
                  <w:pPr>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450</w:t>
                  </w:r>
                  <w:r>
                    <w:rPr>
                      <w:rFonts w:ascii="Times New Roman" w:hAnsi="Times New Roman" w:eastAsia="宋体" w:cs="Times New Roman"/>
                      <w:color w:val="auto"/>
                      <w:sz w:val="21"/>
                      <w:szCs w:val="21"/>
                      <w:highlight w:val="none"/>
                      <w:lang w:eastAsia="zh-CN"/>
                    </w:rPr>
                    <w:t>m</w:t>
                  </w:r>
                  <w:r>
                    <w:rPr>
                      <w:rFonts w:ascii="Times New Roman" w:hAnsi="Times New Roman" w:eastAsia="宋体" w:cs="Times New Roman"/>
                      <w:color w:val="auto"/>
                      <w:sz w:val="21"/>
                      <w:szCs w:val="21"/>
                      <w:highlight w:val="none"/>
                      <w:vertAlign w:val="superscript"/>
                      <w:lang w:eastAsia="zh-CN"/>
                    </w:rPr>
                    <w:t>2</w:t>
                  </w:r>
                </w:p>
              </w:tc>
              <w:tc>
                <w:tcPr>
                  <w:tcW w:w="1144" w:type="dxa"/>
                  <w:tcBorders>
                    <w:tl2br w:val="nil"/>
                    <w:tr2bl w:val="nil"/>
                  </w:tcBorders>
                  <w:noWrap/>
                  <w:vAlign w:val="center"/>
                </w:tcPr>
                <w:p w14:paraId="08CBB196">
                  <w:pPr>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bidi="ar-SA"/>
                    </w:rPr>
                    <w:t>32000</w:t>
                  </w:r>
                  <w:r>
                    <w:rPr>
                      <w:rFonts w:ascii="Times New Roman" w:hAnsi="Times New Roman" w:eastAsia="宋体" w:cs="Times New Roman"/>
                      <w:color w:val="auto"/>
                      <w:sz w:val="21"/>
                      <w:szCs w:val="21"/>
                      <w:highlight w:val="none"/>
                      <w:lang w:eastAsia="zh-CN"/>
                    </w:rPr>
                    <w:t>m³/h</w:t>
                  </w:r>
                </w:p>
              </w:tc>
              <w:tc>
                <w:tcPr>
                  <w:tcW w:w="809" w:type="dxa"/>
                  <w:tcBorders>
                    <w:tl2br w:val="nil"/>
                    <w:tr2bl w:val="nil"/>
                  </w:tcBorders>
                  <w:noWrap/>
                  <w:vAlign w:val="center"/>
                </w:tcPr>
                <w:p w14:paraId="17007D11">
                  <w:pPr>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p w14:paraId="7727259D">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m/min</w:t>
                  </w:r>
                </w:p>
              </w:tc>
              <w:tc>
                <w:tcPr>
                  <w:tcW w:w="547" w:type="dxa"/>
                  <w:tcBorders>
                    <w:tl2br w:val="nil"/>
                    <w:tr2bl w:val="nil"/>
                  </w:tcBorders>
                  <w:noWrap/>
                  <w:vAlign w:val="center"/>
                </w:tcPr>
                <w:p w14:paraId="221E3640">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涤纶</w:t>
                  </w:r>
                </w:p>
              </w:tc>
              <w:tc>
                <w:tcPr>
                  <w:tcW w:w="827" w:type="dxa"/>
                  <w:tcBorders>
                    <w:tl2br w:val="nil"/>
                    <w:tr2bl w:val="nil"/>
                  </w:tcBorders>
                  <w:noWrap/>
                  <w:vAlign w:val="center"/>
                </w:tcPr>
                <w:p w14:paraId="2C35F15A">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≤10</w:t>
                  </w:r>
                </w:p>
                <w:p w14:paraId="1965FACC">
                  <w:pPr>
                    <w:spacing w:line="240" w:lineRule="exact"/>
                    <w:jc w:val="center"/>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mg/m³</w:t>
                  </w:r>
                </w:p>
              </w:tc>
              <w:tc>
                <w:tcPr>
                  <w:tcW w:w="728" w:type="dxa"/>
                  <w:tcBorders>
                    <w:tl2br w:val="nil"/>
                    <w:tr2bl w:val="nil"/>
                  </w:tcBorders>
                  <w:noWrap/>
                  <w:vAlign w:val="center"/>
                </w:tcPr>
                <w:p w14:paraId="7908EF4E">
                  <w:pPr>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r>
                    <w:rPr>
                      <w:rFonts w:ascii="Times New Roman" w:hAnsi="Times New Roman" w:eastAsia="宋体" w:cs="Times New Roman"/>
                      <w:color w:val="auto"/>
                      <w:sz w:val="21"/>
                      <w:szCs w:val="21"/>
                      <w:highlight w:val="none"/>
                      <w:lang w:eastAsia="zh-CN"/>
                    </w:rPr>
                    <w:t>m</w:t>
                  </w:r>
                </w:p>
              </w:tc>
              <w:tc>
                <w:tcPr>
                  <w:tcW w:w="772" w:type="dxa"/>
                  <w:tcBorders>
                    <w:tl2br w:val="nil"/>
                    <w:tr2bl w:val="nil"/>
                  </w:tcBorders>
                  <w:noWrap/>
                  <w:vAlign w:val="center"/>
                </w:tcPr>
                <w:p w14:paraId="1B37E74D">
                  <w:pPr>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10m/s</w:t>
                  </w:r>
                </w:p>
              </w:tc>
              <w:tc>
                <w:tcPr>
                  <w:tcW w:w="647" w:type="dxa"/>
                  <w:tcBorders>
                    <w:tl2br w:val="nil"/>
                    <w:tr2bl w:val="nil"/>
                  </w:tcBorders>
                  <w:noWrap/>
                  <w:vAlign w:val="center"/>
                </w:tcPr>
                <w:p w14:paraId="40A7F223">
                  <w:pPr>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1m</w:t>
                  </w:r>
                </w:p>
              </w:tc>
            </w:tr>
          </w:tbl>
          <w:p w14:paraId="7A694ECD">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lang w:val="en-US" w:eastAsia="zh-CN"/>
              </w:rPr>
              <w:t>②措施</w:t>
            </w:r>
            <w:r>
              <w:rPr>
                <w:rFonts w:hint="eastAsia" w:ascii="Times New Roman" w:hAnsi="Times New Roman" w:eastAsia="宋体" w:cs="Times New Roman"/>
                <w:color w:val="auto"/>
                <w:sz w:val="24"/>
                <w:szCs w:val="24"/>
                <w:highlight w:val="none"/>
                <w:lang w:eastAsia="zh-CN"/>
              </w:rPr>
              <w:t>可行性分析</w:t>
            </w:r>
          </w:p>
          <w:p w14:paraId="02EA1F4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对照《排污许可证申请与核发技术规范</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总则》（HJ942-2018），本项目废气污染防治可行技术分析如下：</w:t>
            </w:r>
          </w:p>
          <w:p w14:paraId="6C39C842">
            <w:pPr>
              <w:adjustRightInd w:val="0"/>
              <w:jc w:val="center"/>
              <w:rPr>
                <w:rFonts w:ascii="Times New Roman" w:hAnsi="Times New Roman" w:eastAsia="宋体" w:cs="Times New Roman"/>
                <w:b/>
                <w:color w:val="auto"/>
                <w:sz w:val="21"/>
                <w:szCs w:val="21"/>
                <w:highlight w:val="none"/>
                <w:lang w:eastAsia="zh-CN"/>
              </w:rPr>
            </w:pPr>
            <w:r>
              <w:rPr>
                <w:rFonts w:ascii="Times New Roman" w:hAnsi="Times New Roman" w:eastAsia="宋体" w:cs="Times New Roman"/>
                <w:b/>
                <w:color w:val="auto"/>
                <w:sz w:val="21"/>
                <w:szCs w:val="21"/>
                <w:highlight w:val="none"/>
                <w:lang w:eastAsia="zh-CN"/>
              </w:rPr>
              <w:t>表</w:t>
            </w:r>
            <w:r>
              <w:rPr>
                <w:rFonts w:hint="eastAsia" w:ascii="Times New Roman" w:hAnsi="Times New Roman" w:eastAsia="宋体" w:cs="Times New Roman"/>
                <w:b/>
                <w:bCs/>
                <w:color w:val="auto"/>
                <w:sz w:val="21"/>
                <w:szCs w:val="21"/>
                <w:highlight w:val="none"/>
                <w:lang w:eastAsia="zh-CN"/>
              </w:rPr>
              <w:t>4</w:t>
            </w:r>
            <w:r>
              <w:rPr>
                <w:rFonts w:hint="eastAsia" w:ascii="Times New Roman" w:hAnsi="Times New Roman" w:eastAsia="宋体" w:cs="Times New Roman"/>
                <w:b/>
                <w:bCs/>
                <w:color w:val="auto"/>
                <w:sz w:val="21"/>
                <w:szCs w:val="21"/>
                <w:highlight w:val="none"/>
                <w:lang w:val="en-US" w:eastAsia="zh-CN"/>
              </w:rPr>
              <w:t>.4-6</w:t>
            </w:r>
            <w:r>
              <w:rPr>
                <w:rFonts w:hint="eastAsia" w:ascii="Times New Roman" w:hAnsi="Times New Roman" w:eastAsia="宋体" w:cs="Times New Roman"/>
                <w:b/>
                <w:color w:val="auto"/>
                <w:sz w:val="21"/>
                <w:szCs w:val="21"/>
                <w:highlight w:val="none"/>
                <w:lang w:val="en-US" w:eastAsia="zh-CN"/>
              </w:rPr>
              <w:t xml:space="preserve">  </w:t>
            </w:r>
            <w:r>
              <w:rPr>
                <w:rFonts w:hint="eastAsia" w:ascii="Times New Roman" w:hAnsi="Times New Roman" w:eastAsia="宋体" w:cs="Times New Roman"/>
                <w:b/>
                <w:color w:val="auto"/>
                <w:sz w:val="21"/>
                <w:szCs w:val="21"/>
                <w:highlight w:val="none"/>
                <w:lang w:eastAsia="zh-CN"/>
              </w:rPr>
              <w:t>排污单位废气污染防治可行技术</w:t>
            </w:r>
          </w:p>
          <w:tbl>
            <w:tblPr>
              <w:tblStyle w:val="33"/>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1"/>
              <w:gridCol w:w="1315"/>
              <w:gridCol w:w="1674"/>
              <w:gridCol w:w="1607"/>
              <w:gridCol w:w="1323"/>
            </w:tblGrid>
            <w:tr w14:paraId="27A9B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231" w:type="dxa"/>
                  <w:tcBorders>
                    <w:tl2br w:val="nil"/>
                    <w:tr2bl w:val="nil"/>
                  </w:tcBorders>
                  <w:vAlign w:val="center"/>
                </w:tcPr>
                <w:p w14:paraId="203E71F5">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排放口</w:t>
                  </w:r>
                </w:p>
              </w:tc>
              <w:tc>
                <w:tcPr>
                  <w:tcW w:w="1315" w:type="dxa"/>
                  <w:tcBorders>
                    <w:tl2br w:val="nil"/>
                    <w:tr2bl w:val="nil"/>
                  </w:tcBorders>
                  <w:vAlign w:val="center"/>
                </w:tcPr>
                <w:p w14:paraId="021AE77C">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主要污染物</w:t>
                  </w:r>
                </w:p>
              </w:tc>
              <w:tc>
                <w:tcPr>
                  <w:tcW w:w="1674" w:type="dxa"/>
                  <w:tcBorders>
                    <w:tl2br w:val="nil"/>
                    <w:tr2bl w:val="nil"/>
                  </w:tcBorders>
                  <w:vAlign w:val="center"/>
                </w:tcPr>
                <w:p w14:paraId="093621B7">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推荐可行技术</w:t>
                  </w:r>
                </w:p>
              </w:tc>
              <w:tc>
                <w:tcPr>
                  <w:tcW w:w="1607" w:type="dxa"/>
                  <w:tcBorders>
                    <w:tl2br w:val="nil"/>
                    <w:tr2bl w:val="nil"/>
                  </w:tcBorders>
                  <w:vAlign w:val="center"/>
                </w:tcPr>
                <w:p w14:paraId="4BA40265">
                  <w:pPr>
                    <w:adjustRightIn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拟采用措施</w:t>
                  </w:r>
                </w:p>
              </w:tc>
              <w:tc>
                <w:tcPr>
                  <w:tcW w:w="1323" w:type="dxa"/>
                  <w:tcBorders>
                    <w:tl2br w:val="nil"/>
                    <w:tr2bl w:val="nil"/>
                  </w:tcBorders>
                  <w:vAlign w:val="center"/>
                </w:tcPr>
                <w:p w14:paraId="5B08A65C">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可行性判定</w:t>
                  </w:r>
                </w:p>
              </w:tc>
            </w:tr>
            <w:tr w14:paraId="0E449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231" w:type="dxa"/>
                  <w:tcBorders>
                    <w:tl2br w:val="nil"/>
                    <w:tr2bl w:val="nil"/>
                  </w:tcBorders>
                  <w:vAlign w:val="center"/>
                </w:tcPr>
                <w:p w14:paraId="7B276EC2">
                  <w:pPr>
                    <w:adjustRightIn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eastAsia="zh-CN"/>
                    </w:rPr>
                    <w:t>原料</w:t>
                  </w:r>
                  <w:r>
                    <w:rPr>
                      <w:rFonts w:hint="eastAsia" w:ascii="Times New Roman" w:hAnsi="Times New Roman" w:eastAsia="宋体" w:cs="Times New Roman"/>
                      <w:bCs/>
                      <w:color w:val="auto"/>
                      <w:sz w:val="21"/>
                      <w:szCs w:val="21"/>
                      <w:highlight w:val="none"/>
                      <w:lang w:val="en-US" w:eastAsia="zh-CN"/>
                    </w:rPr>
                    <w:t>区</w:t>
                  </w:r>
                </w:p>
              </w:tc>
              <w:tc>
                <w:tcPr>
                  <w:tcW w:w="1315" w:type="dxa"/>
                  <w:tcBorders>
                    <w:tl2br w:val="nil"/>
                    <w:tr2bl w:val="nil"/>
                  </w:tcBorders>
                  <w:vAlign w:val="center"/>
                </w:tcPr>
                <w:p w14:paraId="79D2C581">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颗粒物</w:t>
                  </w:r>
                </w:p>
              </w:tc>
              <w:tc>
                <w:tcPr>
                  <w:tcW w:w="1674" w:type="dxa"/>
                  <w:tcBorders>
                    <w:tl2br w:val="nil"/>
                    <w:tr2bl w:val="nil"/>
                  </w:tcBorders>
                  <w:vAlign w:val="center"/>
                </w:tcPr>
                <w:p w14:paraId="02385AD4">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密闭/</w:t>
                  </w:r>
                  <w:r>
                    <w:rPr>
                      <w:rFonts w:hint="eastAsia" w:ascii="Times New Roman" w:hAnsi="Times New Roman" w:eastAsia="宋体" w:cs="Times New Roman"/>
                      <w:bCs/>
                      <w:color w:val="auto"/>
                      <w:sz w:val="21"/>
                      <w:szCs w:val="21"/>
                      <w:highlight w:val="none"/>
                      <w:lang w:eastAsia="zh-CN"/>
                    </w:rPr>
                    <w:t>湿法作业</w:t>
                  </w:r>
                </w:p>
              </w:tc>
              <w:tc>
                <w:tcPr>
                  <w:tcW w:w="1607" w:type="dxa"/>
                  <w:tcBorders>
                    <w:tl2br w:val="nil"/>
                    <w:tr2bl w:val="nil"/>
                  </w:tcBorders>
                  <w:vAlign w:val="center"/>
                </w:tcPr>
                <w:p w14:paraId="2EBC2DE9">
                  <w:pPr>
                    <w:adjustRightIn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密闭</w:t>
                  </w:r>
                </w:p>
              </w:tc>
              <w:tc>
                <w:tcPr>
                  <w:tcW w:w="1323" w:type="dxa"/>
                  <w:tcBorders>
                    <w:tl2br w:val="nil"/>
                    <w:tr2bl w:val="nil"/>
                  </w:tcBorders>
                  <w:vAlign w:val="center"/>
                </w:tcPr>
                <w:p w14:paraId="6E1EB972">
                  <w:pPr>
                    <w:adjustRightInd w:val="0"/>
                    <w:jc w:val="center"/>
                    <w:rPr>
                      <w:rFonts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可行</w:t>
                  </w:r>
                </w:p>
              </w:tc>
            </w:tr>
            <w:tr w14:paraId="24EF2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231" w:type="dxa"/>
                  <w:tcBorders>
                    <w:tl2br w:val="nil"/>
                    <w:tr2bl w:val="nil"/>
                  </w:tcBorders>
                  <w:vAlign w:val="center"/>
                </w:tcPr>
                <w:p w14:paraId="67BC48C6">
                  <w:pPr>
                    <w:adjustRightIn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color w:val="auto"/>
                      <w:sz w:val="20"/>
                      <w:szCs w:val="20"/>
                      <w:highlight w:val="none"/>
                      <w:lang w:val="en-US" w:eastAsia="zh-CN"/>
                    </w:rPr>
                    <w:t>上料+破碎+筒仓</w:t>
                  </w:r>
                </w:p>
              </w:tc>
              <w:tc>
                <w:tcPr>
                  <w:tcW w:w="1315" w:type="dxa"/>
                  <w:tcBorders>
                    <w:tl2br w:val="nil"/>
                    <w:tr2bl w:val="nil"/>
                  </w:tcBorders>
                  <w:vAlign w:val="center"/>
                </w:tcPr>
                <w:p w14:paraId="4FC70BFA">
                  <w:pPr>
                    <w:adjustRightInd w:val="0"/>
                    <w:jc w:val="center"/>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颗粒物</w:t>
                  </w:r>
                </w:p>
              </w:tc>
              <w:tc>
                <w:tcPr>
                  <w:tcW w:w="1674" w:type="dxa"/>
                  <w:tcBorders>
                    <w:tl2br w:val="nil"/>
                    <w:tr2bl w:val="nil"/>
                  </w:tcBorders>
                  <w:vAlign w:val="center"/>
                </w:tcPr>
                <w:p w14:paraId="051D2CA3">
                  <w:pPr>
                    <w:adjustRightInd w:val="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eastAsia="zh-CN"/>
                    </w:rPr>
                    <w:t>袋式除尘</w:t>
                  </w:r>
                </w:p>
              </w:tc>
              <w:tc>
                <w:tcPr>
                  <w:tcW w:w="1607" w:type="dxa"/>
                  <w:tcBorders>
                    <w:tl2br w:val="nil"/>
                    <w:tr2bl w:val="nil"/>
                  </w:tcBorders>
                  <w:vAlign w:val="center"/>
                </w:tcPr>
                <w:p w14:paraId="4E015D1A">
                  <w:pPr>
                    <w:adjustRightIn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布袋除尘器</w:t>
                  </w:r>
                </w:p>
              </w:tc>
              <w:tc>
                <w:tcPr>
                  <w:tcW w:w="1323" w:type="dxa"/>
                  <w:tcBorders>
                    <w:tl2br w:val="nil"/>
                    <w:tr2bl w:val="nil"/>
                  </w:tcBorders>
                  <w:vAlign w:val="center"/>
                </w:tcPr>
                <w:p w14:paraId="31DCCEED">
                  <w:pPr>
                    <w:adjustRightInd w:val="0"/>
                    <w:jc w:val="center"/>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可行</w:t>
                  </w:r>
                </w:p>
              </w:tc>
            </w:tr>
          </w:tbl>
          <w:p w14:paraId="08DD6A8F">
            <w:pPr>
              <w:spacing w:line="360" w:lineRule="auto"/>
              <w:ind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b w:val="0"/>
                <w:bCs w:val="0"/>
                <w:color w:val="auto"/>
                <w:kern w:val="2"/>
                <w:sz w:val="24"/>
                <w:szCs w:val="24"/>
                <w:highlight w:val="none"/>
                <w:lang w:val="en-US" w:eastAsia="zh-CN" w:bidi="ar-SA"/>
              </w:rPr>
              <w:t>本项目</w:t>
            </w:r>
            <w:r>
              <w:rPr>
                <w:rFonts w:hint="eastAsia" w:ascii="Times New Roman" w:hAnsi="Times New Roman" w:eastAsia="宋体" w:cs="Times New Roman"/>
                <w:color w:val="auto"/>
                <w:sz w:val="24"/>
                <w:szCs w:val="24"/>
                <w:highlight w:val="none"/>
                <w:lang w:val="en-US" w:eastAsia="zh-CN"/>
              </w:rPr>
              <w:t>布袋除尘器</w:t>
            </w:r>
            <w:r>
              <w:rPr>
                <w:rFonts w:hint="eastAsia" w:ascii="Times New Roman" w:hAnsi="Times New Roman" w:eastAsia="宋体" w:cs="Times New Roman"/>
                <w:b w:val="0"/>
                <w:bCs w:val="0"/>
                <w:color w:val="auto"/>
                <w:kern w:val="2"/>
                <w:sz w:val="24"/>
                <w:szCs w:val="24"/>
                <w:highlight w:val="none"/>
                <w:lang w:val="en-US" w:eastAsia="zh-CN" w:bidi="ar-SA"/>
              </w:rPr>
              <w:t>设计除尘效率99~99.5</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，除尘效率符合《注册环保工程师专业考试复习教材(第四版)大气污染防治工程技术与实践》（中国环境出版社）中布袋除尘器处理效率范围（99-99.9%），颗粒物排放浓度不大于10</w:t>
            </w:r>
            <w:r>
              <w:rPr>
                <w:rFonts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lang w:val="en-US" w:eastAsia="zh-CN"/>
              </w:rPr>
              <w:t>g</w:t>
            </w:r>
            <w:r>
              <w:rPr>
                <w:rFonts w:ascii="Times New Roman" w:hAnsi="Times New Roman" w:eastAsia="宋体" w:cs="Times New Roman"/>
                <w:color w:val="auto"/>
                <w:sz w:val="24"/>
                <w:szCs w:val="24"/>
                <w:highlight w:val="none"/>
                <w:lang w:eastAsia="zh-CN"/>
              </w:rPr>
              <w:t>/m³</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满足《</w:t>
            </w: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4"/>
                <w:szCs w:val="24"/>
                <w:highlight w:val="none"/>
                <w:lang w:val="en-US" w:eastAsia="zh-CN"/>
              </w:rPr>
              <w:fldChar w:fldCharType="separate"/>
            </w:r>
            <w:r>
              <w:rPr>
                <w:rFonts w:hint="eastAsia" w:ascii="Times New Roman" w:hAnsi="Times New Roman" w:eastAsia="宋体" w:cs="Times New Roman"/>
                <w:color w:val="auto"/>
                <w:sz w:val="24"/>
                <w:szCs w:val="24"/>
                <w:highlight w:val="none"/>
                <w:lang w:val="en-US" w:eastAsia="zh-CN"/>
              </w:rPr>
              <w:t>大气污染物综合排放标准</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》（GB16297-1996）中表2排放限值情况下且符合《长治市工业企业无组织排放治理实施方案》（长气防办[2019]9号）中“粉尘排放浓度控制在 10mg/m</w:t>
            </w:r>
            <w:r>
              <w:rPr>
                <w:rFonts w:hint="eastAsia" w:ascii="Times New Roman" w:hAnsi="Times New Roman" w:eastAsia="宋体" w:cs="Times New Roman"/>
                <w:color w:val="auto"/>
                <w:sz w:val="24"/>
                <w:szCs w:val="24"/>
                <w:highlight w:val="none"/>
                <w:vertAlign w:val="superscript"/>
                <w:lang w:val="en-US" w:eastAsia="zh-CN"/>
              </w:rPr>
              <w:t xml:space="preserve">3 </w:t>
            </w:r>
            <w:r>
              <w:rPr>
                <w:rFonts w:hint="eastAsia" w:ascii="Times New Roman" w:hAnsi="Times New Roman" w:eastAsia="宋体" w:cs="Times New Roman"/>
                <w:color w:val="auto"/>
                <w:sz w:val="24"/>
                <w:szCs w:val="24"/>
                <w:highlight w:val="none"/>
                <w:lang w:val="en-US" w:eastAsia="zh-CN"/>
              </w:rPr>
              <w:t>以内”要求，所采用的</w:t>
            </w:r>
            <w:r>
              <w:rPr>
                <w:rFonts w:hint="eastAsia" w:ascii="Times New Roman" w:hAnsi="Times New Roman" w:eastAsia="宋体" w:cs="Times New Roman"/>
                <w:b w:val="0"/>
                <w:bCs w:val="0"/>
                <w:color w:val="auto"/>
                <w:kern w:val="2"/>
                <w:sz w:val="24"/>
                <w:szCs w:val="24"/>
                <w:highlight w:val="none"/>
                <w:lang w:val="en-US" w:eastAsia="zh-CN" w:bidi="ar-SA"/>
              </w:rPr>
              <w:t>除尘技术属于</w:t>
            </w:r>
            <w:r>
              <w:rPr>
                <w:rFonts w:hint="eastAsia" w:ascii="Times New Roman" w:hAnsi="Times New Roman" w:eastAsia="宋体" w:cs="Times New Roman"/>
                <w:color w:val="auto"/>
                <w:sz w:val="24"/>
                <w:szCs w:val="24"/>
                <w:highlight w:val="none"/>
                <w:lang w:eastAsia="zh-CN"/>
              </w:rPr>
              <w:t>《排污许可证申请与核发技术规范总则》（HJ942-2018）</w:t>
            </w:r>
            <w:r>
              <w:rPr>
                <w:rFonts w:hint="eastAsia" w:ascii="Times New Roman" w:hAnsi="Times New Roman" w:eastAsia="宋体" w:cs="Times New Roman"/>
                <w:b w:val="0"/>
                <w:bCs w:val="0"/>
                <w:color w:val="auto"/>
                <w:kern w:val="2"/>
                <w:sz w:val="24"/>
                <w:szCs w:val="24"/>
                <w:highlight w:val="none"/>
                <w:lang w:val="en-US" w:eastAsia="zh-CN" w:bidi="ar-SA"/>
              </w:rPr>
              <w:t>中所列的污染防治可行技术。</w:t>
            </w:r>
          </w:p>
          <w:p w14:paraId="119369C9">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上述可知，本项目采用的废气治理措施可行。</w:t>
            </w:r>
          </w:p>
          <w:p w14:paraId="7BFC7D9A">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③排气筒高度</w:t>
            </w:r>
          </w:p>
          <w:p w14:paraId="2531D510">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4"/>
                <w:szCs w:val="24"/>
                <w:highlight w:val="none"/>
                <w:lang w:val="en-US" w:eastAsia="zh-CN"/>
              </w:rPr>
              <w:fldChar w:fldCharType="separate"/>
            </w:r>
            <w:r>
              <w:rPr>
                <w:rFonts w:hint="eastAsia" w:ascii="Times New Roman" w:hAnsi="Times New Roman" w:eastAsia="宋体" w:cs="Times New Roman"/>
                <w:color w:val="auto"/>
                <w:sz w:val="24"/>
                <w:szCs w:val="24"/>
                <w:highlight w:val="none"/>
                <w:lang w:val="en-US" w:eastAsia="zh-CN"/>
              </w:rPr>
              <w:t>大气污染物综合排放标准</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》（GB16297-1996）</w:t>
            </w:r>
            <w:r>
              <w:rPr>
                <w:rFonts w:hint="eastAsia" w:ascii="Times New Roman" w:hAnsi="Times New Roman" w:eastAsia="宋体" w:cs="Times New Roman"/>
                <w:color w:val="auto"/>
                <w:sz w:val="24"/>
                <w:szCs w:val="24"/>
                <w:lang w:val="en-US" w:eastAsia="zh-CN"/>
              </w:rPr>
              <w:t>中7.4 排气筒高度一般不应低于15m；7.1排气筒高度除须遵守表列排放速率标准值外，还应高出周围200m半径范围的建筑5m以上。本项目200m范围内敏感建筑物主要为闫李庄村，平均建筑高度为3m，因此本项目设置不低于15m排气筒合理。</w:t>
            </w:r>
          </w:p>
          <w:p w14:paraId="75FDE71B">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2）道路运输</w:t>
            </w:r>
          </w:p>
          <w:p w14:paraId="79D6E419">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响应《重污染天气重点行业应急减排措施制定技术指南（2020年修订版）》（环办大气函【2020】340号）中总体要求第五条以及《国务院办公厅关于印发推进运输结构调整三年行动计划（2018—2020年）的通知》（国办发〔2018〕91号），①本项目在橙色及以上预警期间，不使用国二及以下排放标准非道路移动机械（清洁能源和紧急检修作业机械除外），②不使用国四及以下排放标准重型载货车辆（含燃气）运输，③不使用非法改装货运车辆、超限超载车辆出场上路行驶，</w:t>
            </w:r>
            <w:r>
              <w:rPr>
                <w:rFonts w:hint="eastAsia" w:ascii="Times New Roman" w:hAnsi="Times New Roman" w:eastAsia="宋体" w:cs="Times New Roman"/>
                <w:color w:val="auto"/>
                <w:sz w:val="24"/>
                <w:szCs w:val="24"/>
                <w:highlight w:val="none"/>
                <w:lang w:val="en-US" w:eastAsia="zh-CN"/>
              </w:rPr>
              <w:t>④</w:t>
            </w:r>
            <w:r>
              <w:rPr>
                <w:rFonts w:hint="eastAsia" w:ascii="Times New Roman" w:hAnsi="Times New Roman" w:eastAsia="宋体" w:cs="Times New Roman"/>
                <w:color w:val="auto"/>
                <w:sz w:val="24"/>
                <w:szCs w:val="24"/>
                <w:lang w:val="en-US" w:eastAsia="zh-CN"/>
              </w:rPr>
              <w:t>原料区</w:t>
            </w:r>
            <w:r>
              <w:rPr>
                <w:rFonts w:hint="eastAsia" w:ascii="Times New Roman" w:hAnsi="Times New Roman" w:eastAsia="宋体" w:cs="Times New Roman"/>
                <w:color w:val="auto"/>
                <w:sz w:val="24"/>
                <w:szCs w:val="24"/>
                <w:highlight w:val="none"/>
                <w:lang w:val="en-US" w:eastAsia="zh-CN"/>
              </w:rPr>
              <w:t>全封闭设置，出入口采用悬挂或推拉式门帘，减少无组织废气产生</w:t>
            </w:r>
            <w:r>
              <w:rPr>
                <w:rFonts w:hint="eastAsia" w:ascii="Times New Roman" w:hAnsi="Times New Roman" w:eastAsia="宋体" w:cs="Times New Roman"/>
                <w:color w:val="auto"/>
                <w:sz w:val="24"/>
                <w:szCs w:val="24"/>
                <w:lang w:val="en-US" w:eastAsia="zh-CN"/>
              </w:rPr>
              <w:t>。</w:t>
            </w:r>
          </w:p>
          <w:p w14:paraId="2B08076A">
            <w:pPr>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3）三本账</w:t>
            </w:r>
          </w:p>
          <w:p w14:paraId="0CC44A80">
            <w:pPr>
              <w:ind w:firstLine="422" w:firstLineChars="200"/>
              <w:jc w:val="center"/>
              <w:rPr>
                <w:rFonts w:hint="eastAsia" w:ascii="Times New Roman" w:hAnsi="Times New Roman" w:eastAsia="宋体" w:cs="Times New Roman"/>
                <w:b/>
                <w:bCs w:val="0"/>
                <w:color w:val="000000" w:themeColor="text1"/>
                <w:sz w:val="21"/>
                <w:szCs w:val="21"/>
                <w:highlight w:val="none"/>
                <w:lang w:eastAsia="zh-CN"/>
              </w:rPr>
            </w:pPr>
            <w:r>
              <w:rPr>
                <w:rFonts w:hint="eastAsia" w:ascii="Times New Roman" w:hAnsi="Times New Roman" w:eastAsia="宋体" w:cs="Times New Roman"/>
                <w:b/>
                <w:bCs w:val="0"/>
                <w:color w:val="000000" w:themeColor="text1"/>
                <w:sz w:val="21"/>
                <w:szCs w:val="21"/>
                <w:highlight w:val="none"/>
                <w:lang w:eastAsia="zh-CN"/>
              </w:rPr>
              <w:t>表</w:t>
            </w:r>
            <w:r>
              <w:rPr>
                <w:rFonts w:hint="eastAsia" w:ascii="Times New Roman" w:hAnsi="Times New Roman" w:eastAsia="宋体" w:cs="Times New Roman"/>
                <w:b/>
                <w:bCs/>
                <w:color w:val="auto"/>
                <w:sz w:val="21"/>
                <w:szCs w:val="21"/>
                <w:highlight w:val="none"/>
                <w:lang w:eastAsia="zh-CN"/>
              </w:rPr>
              <w:t>4</w:t>
            </w:r>
            <w:r>
              <w:rPr>
                <w:rFonts w:hint="eastAsia" w:ascii="Times New Roman" w:hAnsi="Times New Roman" w:eastAsia="宋体" w:cs="Times New Roman"/>
                <w:b/>
                <w:bCs/>
                <w:color w:val="auto"/>
                <w:sz w:val="21"/>
                <w:szCs w:val="21"/>
                <w:highlight w:val="none"/>
                <w:lang w:val="en-US" w:eastAsia="zh-CN"/>
              </w:rPr>
              <w:t>.4-7</w:t>
            </w:r>
            <w:r>
              <w:rPr>
                <w:rFonts w:hint="eastAsia" w:ascii="Times New Roman" w:hAnsi="Times New Roman" w:eastAsia="宋体" w:cs="Times New Roman"/>
                <w:b/>
                <w:bCs w:val="0"/>
                <w:color w:val="000000" w:themeColor="text1"/>
                <w:sz w:val="21"/>
                <w:szCs w:val="21"/>
                <w:highlight w:val="none"/>
                <w:lang w:eastAsia="zh-CN"/>
              </w:rPr>
              <w:t xml:space="preserve">  项目</w:t>
            </w:r>
            <w:r>
              <w:rPr>
                <w:rFonts w:hint="eastAsia" w:ascii="Times New Roman" w:hAnsi="Times New Roman" w:eastAsia="宋体" w:cs="Times New Roman"/>
                <w:b/>
                <w:bCs w:val="0"/>
                <w:color w:val="000000" w:themeColor="text1"/>
                <w:sz w:val="21"/>
                <w:szCs w:val="21"/>
                <w:highlight w:val="none"/>
                <w:lang w:val="en-US" w:eastAsia="zh-CN"/>
              </w:rPr>
              <w:t>扩建</w:t>
            </w:r>
            <w:r>
              <w:rPr>
                <w:rFonts w:hint="eastAsia" w:ascii="Times New Roman" w:hAnsi="Times New Roman" w:eastAsia="宋体" w:cs="Times New Roman"/>
                <w:b/>
                <w:bCs w:val="0"/>
                <w:color w:val="000000" w:themeColor="text1"/>
                <w:sz w:val="21"/>
                <w:szCs w:val="21"/>
                <w:highlight w:val="none"/>
                <w:lang w:eastAsia="zh-CN"/>
              </w:rPr>
              <w:t>前后“三本帐”分析</w:t>
            </w:r>
          </w:p>
          <w:tbl>
            <w:tblPr>
              <w:tblStyle w:val="32"/>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5"/>
              <w:gridCol w:w="1128"/>
              <w:gridCol w:w="1486"/>
              <w:gridCol w:w="1199"/>
              <w:gridCol w:w="1196"/>
              <w:gridCol w:w="1198"/>
              <w:gridCol w:w="1153"/>
            </w:tblGrid>
            <w:tr w14:paraId="1698C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23" w:type="dxa"/>
                  <w:gridSpan w:val="2"/>
                  <w:tcBorders>
                    <w:tl2br w:val="nil"/>
                    <w:tr2bl w:val="nil"/>
                  </w:tcBorders>
                  <w:noWrap w:val="0"/>
                  <w:vAlign w:val="center"/>
                </w:tcPr>
                <w:p w14:paraId="6ACABFED">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污染物名称</w:t>
                  </w:r>
                </w:p>
              </w:tc>
              <w:tc>
                <w:tcPr>
                  <w:tcW w:w="1486" w:type="dxa"/>
                  <w:tcBorders>
                    <w:tl2br w:val="nil"/>
                    <w:tr2bl w:val="nil"/>
                  </w:tcBorders>
                  <w:noWrap w:val="0"/>
                  <w:vAlign w:val="center"/>
                </w:tcPr>
                <w:p w14:paraId="465CE18A">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前工程</w:t>
                  </w:r>
                </w:p>
                <w:p w14:paraId="50A2B93F">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排放量（t/a）</w:t>
                  </w:r>
                </w:p>
              </w:tc>
              <w:tc>
                <w:tcPr>
                  <w:tcW w:w="1199" w:type="dxa"/>
                  <w:tcBorders>
                    <w:tl2br w:val="nil"/>
                    <w:tr2bl w:val="nil"/>
                  </w:tcBorders>
                  <w:noWrap w:val="0"/>
                  <w:vAlign w:val="center"/>
                </w:tcPr>
                <w:p w14:paraId="52BAEE21">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工程排放量（t/a）</w:t>
                  </w:r>
                </w:p>
              </w:tc>
              <w:tc>
                <w:tcPr>
                  <w:tcW w:w="1196" w:type="dxa"/>
                  <w:tcBorders>
                    <w:tl2br w:val="nil"/>
                    <w:tr2bl w:val="nil"/>
                  </w:tcBorders>
                  <w:noWrap w:val="0"/>
                  <w:vAlign w:val="center"/>
                </w:tcPr>
                <w:p w14:paraId="4B823AF9">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“以新带老”消减量</w:t>
                  </w:r>
                </w:p>
              </w:tc>
              <w:tc>
                <w:tcPr>
                  <w:tcW w:w="1198" w:type="dxa"/>
                  <w:tcBorders>
                    <w:tl2br w:val="nil"/>
                    <w:tr2bl w:val="nil"/>
                  </w:tcBorders>
                  <w:noWrap w:val="0"/>
                  <w:vAlign w:val="center"/>
                </w:tcPr>
                <w:p w14:paraId="5EA278FE">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lang w:val="en-US" w:eastAsia="zh-CN"/>
                    </w:rPr>
                    <w:t>扩建</w:t>
                  </w:r>
                  <w:r>
                    <w:rPr>
                      <w:rFonts w:hint="eastAsia" w:ascii="Times New Roman" w:hAnsi="Times New Roman" w:eastAsia="宋体" w:cs="Times New Roman"/>
                      <w:b w:val="0"/>
                      <w:bCs w:val="0"/>
                      <w:color w:val="000000" w:themeColor="text1"/>
                      <w:sz w:val="21"/>
                      <w:szCs w:val="21"/>
                    </w:rPr>
                    <w:t>后污染物排放量（t/a）</w:t>
                  </w:r>
                </w:p>
              </w:tc>
              <w:tc>
                <w:tcPr>
                  <w:tcW w:w="1153" w:type="dxa"/>
                  <w:tcBorders>
                    <w:tl2br w:val="nil"/>
                    <w:tr2bl w:val="nil"/>
                  </w:tcBorders>
                  <w:noWrap w:val="0"/>
                  <w:vAlign w:val="center"/>
                </w:tcPr>
                <w:p w14:paraId="74F6EA3A">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排放增减量（t/a）</w:t>
                  </w:r>
                </w:p>
              </w:tc>
            </w:tr>
            <w:tr w14:paraId="2BD89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restart"/>
                  <w:tcBorders>
                    <w:tl2br w:val="nil"/>
                    <w:tr2bl w:val="nil"/>
                  </w:tcBorders>
                  <w:noWrap w:val="0"/>
                  <w:vAlign w:val="center"/>
                </w:tcPr>
                <w:p w14:paraId="223EFBA6">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r>
                    <w:rPr>
                      <w:rFonts w:hint="eastAsia" w:ascii="Times New Roman" w:hAnsi="Times New Roman" w:eastAsia="宋体" w:cs="Times New Roman"/>
                      <w:b w:val="0"/>
                      <w:bCs w:val="0"/>
                      <w:color w:val="000000" w:themeColor="text1"/>
                      <w:sz w:val="21"/>
                      <w:szCs w:val="21"/>
                    </w:rPr>
                    <w:t>废气</w:t>
                  </w:r>
                </w:p>
              </w:tc>
              <w:tc>
                <w:tcPr>
                  <w:tcW w:w="1128" w:type="dxa"/>
                  <w:tcBorders>
                    <w:tl2br w:val="nil"/>
                    <w:tr2bl w:val="nil"/>
                  </w:tcBorders>
                  <w:noWrap w:val="0"/>
                  <w:vAlign w:val="center"/>
                </w:tcPr>
                <w:p w14:paraId="61C6818E">
                  <w:pPr>
                    <w:pStyle w:val="12"/>
                    <w:ind w:left="0" w:leftChars="0" w:firstLine="0" w:firstLineChars="0"/>
                    <w:jc w:val="center"/>
                    <w:rPr>
                      <w:rFonts w:hint="eastAsia" w:ascii="Times New Roman" w:hAnsi="Times New Roman" w:eastAsia="宋体" w:cs="Times New Roman"/>
                      <w:b w:val="0"/>
                      <w:bCs w:val="0"/>
                      <w:color w:val="000000" w:themeColor="text1"/>
                      <w:sz w:val="21"/>
                      <w:szCs w:val="21"/>
                      <w:lang w:eastAsia="zh-CN"/>
                    </w:rPr>
                  </w:pPr>
                  <w:r>
                    <w:rPr>
                      <w:rFonts w:hint="eastAsia" w:ascii="Times New Roman" w:hAnsi="Times New Roman" w:eastAsia="宋体" w:cs="Times New Roman"/>
                      <w:b w:val="0"/>
                      <w:bCs w:val="0"/>
                      <w:color w:val="000000" w:themeColor="text1"/>
                      <w:sz w:val="21"/>
                      <w:szCs w:val="21"/>
                      <w:lang w:val="en-US" w:eastAsia="zh-CN"/>
                    </w:rPr>
                    <w:t>颗粒物</w:t>
                  </w:r>
                </w:p>
              </w:tc>
              <w:tc>
                <w:tcPr>
                  <w:tcW w:w="1486" w:type="dxa"/>
                  <w:tcBorders>
                    <w:tl2br w:val="nil"/>
                    <w:tr2bl w:val="nil"/>
                  </w:tcBorders>
                  <w:noWrap w:val="0"/>
                  <w:vAlign w:val="center"/>
                </w:tcPr>
                <w:p w14:paraId="73362D75">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7.04</w:t>
                  </w:r>
                </w:p>
              </w:tc>
              <w:tc>
                <w:tcPr>
                  <w:tcW w:w="1199" w:type="dxa"/>
                  <w:tcBorders>
                    <w:tl2br w:val="nil"/>
                    <w:tr2bl w:val="nil"/>
                  </w:tcBorders>
                  <w:noWrap w:val="0"/>
                  <w:vAlign w:val="center"/>
                </w:tcPr>
                <w:p w14:paraId="4A6D9397">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0.57</w:t>
                  </w:r>
                </w:p>
              </w:tc>
              <w:tc>
                <w:tcPr>
                  <w:tcW w:w="1196" w:type="dxa"/>
                  <w:tcBorders>
                    <w:tl2br w:val="nil"/>
                    <w:tr2bl w:val="nil"/>
                  </w:tcBorders>
                  <w:noWrap w:val="0"/>
                  <w:vAlign w:val="center"/>
                </w:tcPr>
                <w:p w14:paraId="621B68D6">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6.59</w:t>
                  </w:r>
                </w:p>
              </w:tc>
              <w:tc>
                <w:tcPr>
                  <w:tcW w:w="1198" w:type="dxa"/>
                  <w:tcBorders>
                    <w:tl2br w:val="nil"/>
                    <w:tr2bl w:val="nil"/>
                  </w:tcBorders>
                  <w:noWrap w:val="0"/>
                  <w:vAlign w:val="center"/>
                </w:tcPr>
                <w:p w14:paraId="0D6FA9C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1.02</w:t>
                  </w:r>
                </w:p>
              </w:tc>
              <w:tc>
                <w:tcPr>
                  <w:tcW w:w="1153" w:type="dxa"/>
                  <w:tcBorders>
                    <w:tl2br w:val="nil"/>
                    <w:tr2bl w:val="nil"/>
                  </w:tcBorders>
                  <w:noWrap w:val="0"/>
                  <w:vAlign w:val="center"/>
                </w:tcPr>
                <w:p w14:paraId="1B0D56F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-6.02</w:t>
                  </w:r>
                </w:p>
              </w:tc>
            </w:tr>
            <w:tr w14:paraId="02F4B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continue"/>
                  <w:tcBorders>
                    <w:tl2br w:val="nil"/>
                    <w:tr2bl w:val="nil"/>
                  </w:tcBorders>
                  <w:noWrap w:val="0"/>
                  <w:vAlign w:val="center"/>
                </w:tcPr>
                <w:p w14:paraId="6EC135BB">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p>
              </w:tc>
              <w:tc>
                <w:tcPr>
                  <w:tcW w:w="1128" w:type="dxa"/>
                  <w:tcBorders>
                    <w:tl2br w:val="nil"/>
                    <w:tr2bl w:val="nil"/>
                  </w:tcBorders>
                  <w:noWrap w:val="0"/>
                  <w:vAlign w:val="center"/>
                </w:tcPr>
                <w:p w14:paraId="5D67493C">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二氧化硫</w:t>
                  </w:r>
                </w:p>
              </w:tc>
              <w:tc>
                <w:tcPr>
                  <w:tcW w:w="1486" w:type="dxa"/>
                  <w:tcBorders>
                    <w:tl2br w:val="nil"/>
                    <w:tr2bl w:val="nil"/>
                  </w:tcBorders>
                  <w:noWrap w:val="0"/>
                  <w:vAlign w:val="center"/>
                </w:tcPr>
                <w:p w14:paraId="4FCEB1CC">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5.67</w:t>
                  </w:r>
                </w:p>
              </w:tc>
              <w:tc>
                <w:tcPr>
                  <w:tcW w:w="1199" w:type="dxa"/>
                  <w:tcBorders>
                    <w:tl2br w:val="nil"/>
                    <w:tr2bl w:val="nil"/>
                  </w:tcBorders>
                  <w:noWrap w:val="0"/>
                  <w:vAlign w:val="center"/>
                </w:tcPr>
                <w:p w14:paraId="7C9C066E">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w:t>
                  </w:r>
                </w:p>
              </w:tc>
              <w:tc>
                <w:tcPr>
                  <w:tcW w:w="1196" w:type="dxa"/>
                  <w:tcBorders>
                    <w:tl2br w:val="nil"/>
                    <w:tr2bl w:val="nil"/>
                  </w:tcBorders>
                  <w:noWrap w:val="0"/>
                  <w:vAlign w:val="center"/>
                </w:tcPr>
                <w:p w14:paraId="4E2F0A3F">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4.33</w:t>
                  </w:r>
                </w:p>
              </w:tc>
              <w:tc>
                <w:tcPr>
                  <w:tcW w:w="1198" w:type="dxa"/>
                  <w:tcBorders>
                    <w:tl2br w:val="nil"/>
                    <w:tr2bl w:val="nil"/>
                  </w:tcBorders>
                  <w:noWrap w:val="0"/>
                  <w:vAlign w:val="center"/>
                </w:tcPr>
                <w:p w14:paraId="4F27473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1.34</w:t>
                  </w:r>
                </w:p>
              </w:tc>
              <w:tc>
                <w:tcPr>
                  <w:tcW w:w="1153" w:type="dxa"/>
                  <w:tcBorders>
                    <w:tl2br w:val="nil"/>
                    <w:tr2bl w:val="nil"/>
                  </w:tcBorders>
                  <w:noWrap w:val="0"/>
                  <w:vAlign w:val="center"/>
                </w:tcPr>
                <w:p w14:paraId="75D4DE0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-4.33</w:t>
                  </w:r>
                </w:p>
              </w:tc>
            </w:tr>
            <w:tr w14:paraId="7C1E9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95" w:type="dxa"/>
                  <w:vMerge w:val="continue"/>
                  <w:tcBorders>
                    <w:tl2br w:val="nil"/>
                    <w:tr2bl w:val="nil"/>
                  </w:tcBorders>
                  <w:noWrap w:val="0"/>
                  <w:vAlign w:val="center"/>
                </w:tcPr>
                <w:p w14:paraId="35000751">
                  <w:pPr>
                    <w:pStyle w:val="12"/>
                    <w:ind w:left="0" w:leftChars="0" w:firstLine="0" w:firstLineChars="0"/>
                    <w:jc w:val="center"/>
                    <w:rPr>
                      <w:rFonts w:hint="eastAsia" w:ascii="Times New Roman" w:hAnsi="Times New Roman" w:eastAsia="宋体" w:cs="Times New Roman"/>
                      <w:b w:val="0"/>
                      <w:bCs w:val="0"/>
                      <w:color w:val="000000" w:themeColor="text1"/>
                      <w:sz w:val="21"/>
                      <w:szCs w:val="21"/>
                    </w:rPr>
                  </w:pPr>
                </w:p>
              </w:tc>
              <w:tc>
                <w:tcPr>
                  <w:tcW w:w="1128" w:type="dxa"/>
                  <w:tcBorders>
                    <w:tl2br w:val="nil"/>
                    <w:tr2bl w:val="nil"/>
                  </w:tcBorders>
                  <w:noWrap w:val="0"/>
                  <w:vAlign w:val="center"/>
                </w:tcPr>
                <w:p w14:paraId="4B45BB3F">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氮氧化物</w:t>
                  </w:r>
                </w:p>
              </w:tc>
              <w:tc>
                <w:tcPr>
                  <w:tcW w:w="1486" w:type="dxa"/>
                  <w:tcBorders>
                    <w:tl2br w:val="nil"/>
                    <w:tr2bl w:val="nil"/>
                  </w:tcBorders>
                  <w:noWrap w:val="0"/>
                  <w:vAlign w:val="center"/>
                </w:tcPr>
                <w:p w14:paraId="25955F96">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38.55</w:t>
                  </w:r>
                </w:p>
              </w:tc>
              <w:tc>
                <w:tcPr>
                  <w:tcW w:w="1199" w:type="dxa"/>
                  <w:tcBorders>
                    <w:tl2br w:val="nil"/>
                    <w:tr2bl w:val="nil"/>
                  </w:tcBorders>
                  <w:noWrap w:val="0"/>
                  <w:vAlign w:val="center"/>
                </w:tcPr>
                <w:p w14:paraId="36957C8D">
                  <w:pPr>
                    <w:pStyle w:val="12"/>
                    <w:ind w:left="0" w:leftChars="0" w:firstLine="0" w:firstLineChars="0"/>
                    <w:jc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w:t>
                  </w:r>
                </w:p>
              </w:tc>
              <w:tc>
                <w:tcPr>
                  <w:tcW w:w="1196" w:type="dxa"/>
                  <w:tcBorders>
                    <w:tl2br w:val="nil"/>
                    <w:tr2bl w:val="nil"/>
                  </w:tcBorders>
                  <w:noWrap w:val="0"/>
                  <w:vAlign w:val="center"/>
                </w:tcPr>
                <w:p w14:paraId="6891FA19">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34.65</w:t>
                  </w:r>
                </w:p>
              </w:tc>
              <w:tc>
                <w:tcPr>
                  <w:tcW w:w="1198" w:type="dxa"/>
                  <w:tcBorders>
                    <w:tl2br w:val="nil"/>
                    <w:tr2bl w:val="nil"/>
                  </w:tcBorders>
                  <w:noWrap w:val="0"/>
                  <w:vAlign w:val="center"/>
                </w:tcPr>
                <w:p w14:paraId="61B8B29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default" w:ascii="Times New Roman" w:hAnsi="Times New Roman" w:eastAsia="宋体" w:cs="Times New Roman"/>
                      <w:b w:val="0"/>
                      <w:bCs w:val="0"/>
                      <w:color w:val="000000" w:themeColor="text1"/>
                      <w:sz w:val="21"/>
                      <w:szCs w:val="21"/>
                      <w:lang w:val="en-US" w:eastAsia="zh-CN" w:bidi="ar-SA"/>
                    </w:rPr>
                    <w:t>3.9</w:t>
                  </w:r>
                </w:p>
              </w:tc>
              <w:tc>
                <w:tcPr>
                  <w:tcW w:w="1153" w:type="dxa"/>
                  <w:tcBorders>
                    <w:tl2br w:val="nil"/>
                    <w:tr2bl w:val="nil"/>
                  </w:tcBorders>
                  <w:noWrap w:val="0"/>
                  <w:vAlign w:val="center"/>
                </w:tcPr>
                <w:p w14:paraId="4AF03B1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lang w:val="en-US" w:eastAsia="zh-CN" w:bidi="ar-SA"/>
                    </w:rPr>
                  </w:pPr>
                  <w:r>
                    <w:rPr>
                      <w:rFonts w:hint="eastAsia" w:ascii="Times New Roman" w:hAnsi="Times New Roman" w:eastAsia="宋体" w:cs="Times New Roman"/>
                      <w:b w:val="0"/>
                      <w:bCs w:val="0"/>
                      <w:color w:val="000000" w:themeColor="text1"/>
                      <w:sz w:val="21"/>
                      <w:szCs w:val="21"/>
                      <w:lang w:val="en-US" w:eastAsia="zh-CN" w:bidi="ar-SA"/>
                    </w:rPr>
                    <w:t>-34.65</w:t>
                  </w:r>
                </w:p>
              </w:tc>
            </w:tr>
          </w:tbl>
          <w:p w14:paraId="2A265BE6">
            <w:pPr>
              <w:spacing w:line="360" w:lineRule="auto"/>
              <w:ind w:firstLine="496"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bCs/>
                <w:color w:val="auto"/>
                <w:spacing w:val="4"/>
                <w:sz w:val="24"/>
                <w:highlight w:val="none"/>
                <w:lang w:val="zh-CN" w:eastAsia="zh-CN"/>
              </w:rPr>
              <w:t>项目在采用更为先进和合理的环保设施和措施，使得项目在</w:t>
            </w:r>
            <w:r>
              <w:rPr>
                <w:rFonts w:hint="eastAsia" w:ascii="Times New Roman" w:hAnsi="Times New Roman" w:eastAsia="宋体" w:cs="Times New Roman"/>
                <w:bCs/>
                <w:color w:val="auto"/>
                <w:spacing w:val="4"/>
                <w:sz w:val="24"/>
                <w:highlight w:val="none"/>
                <w:lang w:val="en-US" w:eastAsia="zh-CN"/>
              </w:rPr>
              <w:t>扩建</w:t>
            </w:r>
            <w:r>
              <w:rPr>
                <w:rFonts w:hint="eastAsia" w:ascii="Times New Roman" w:hAnsi="Times New Roman" w:eastAsia="宋体" w:cs="Times New Roman"/>
                <w:bCs/>
                <w:color w:val="auto"/>
                <w:spacing w:val="4"/>
                <w:sz w:val="24"/>
                <w:highlight w:val="none"/>
                <w:lang w:val="zh-CN" w:eastAsia="zh-CN"/>
              </w:rPr>
              <w:t>完成后</w:t>
            </w:r>
            <w:r>
              <w:rPr>
                <w:rFonts w:hint="eastAsia" w:ascii="Times New Roman" w:hAnsi="Times New Roman" w:eastAsia="宋体" w:cs="Times New Roman"/>
                <w:bCs/>
                <w:color w:val="auto"/>
                <w:spacing w:val="4"/>
                <w:sz w:val="24"/>
                <w:highlight w:val="none"/>
                <w:lang w:val="en-US" w:eastAsia="zh-CN"/>
              </w:rPr>
              <w:t>污染量未增加。</w:t>
            </w:r>
          </w:p>
          <w:p w14:paraId="532910A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（3）影响分析</w:t>
            </w:r>
          </w:p>
          <w:p w14:paraId="060BB0D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大气评价范围内的敏感点</w:t>
            </w:r>
            <w:r>
              <w:rPr>
                <w:rFonts w:hint="eastAsia" w:ascii="Times New Roman" w:hAnsi="Times New Roman" w:eastAsia="宋体" w:cs="Times New Roman"/>
                <w:color w:val="auto"/>
                <w:sz w:val="24"/>
                <w:szCs w:val="24"/>
                <w:highlight w:val="none"/>
                <w:lang w:val="en-US" w:eastAsia="zh-CN"/>
              </w:rPr>
              <w:t>主要为闫李庄村</w:t>
            </w:r>
            <w:r>
              <w:rPr>
                <w:rFonts w:hint="eastAsia" w:ascii="Times New Roman" w:hAnsi="Times New Roman" w:eastAsia="宋体" w:cs="Times New Roman"/>
                <w:color w:val="auto"/>
                <w:sz w:val="24"/>
                <w:szCs w:val="24"/>
                <w:highlight w:val="none"/>
                <w:lang w:eastAsia="zh-CN"/>
              </w:rPr>
              <w:t>，最近敏感点</w:t>
            </w:r>
            <w:r>
              <w:rPr>
                <w:rFonts w:hint="eastAsia" w:ascii="Times New Roman" w:hAnsi="Times New Roman" w:eastAsia="宋体" w:cs="Times New Roman"/>
                <w:color w:val="auto"/>
                <w:sz w:val="24"/>
                <w:szCs w:val="24"/>
                <w:highlight w:val="none"/>
                <w:lang w:val="en-US" w:eastAsia="zh-CN"/>
              </w:rPr>
              <w:t>为</w:t>
            </w:r>
            <w:r>
              <w:rPr>
                <w:rFonts w:hint="eastAsia"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西侧132m</w:t>
            </w:r>
            <w:r>
              <w:rPr>
                <w:rFonts w:hint="eastAsia" w:ascii="Times New Roman" w:hAnsi="Times New Roman" w:eastAsia="宋体" w:cs="Times New Roman"/>
                <w:color w:val="auto"/>
                <w:sz w:val="24"/>
                <w:szCs w:val="24"/>
                <w:highlight w:val="none"/>
                <w:lang w:eastAsia="zh-CN"/>
              </w:rPr>
              <w:t>处，本项目</w:t>
            </w:r>
            <w:r>
              <w:rPr>
                <w:rFonts w:hint="eastAsia" w:ascii="Times New Roman" w:hAnsi="Times New Roman" w:eastAsia="宋体" w:cs="Times New Roman"/>
                <w:color w:val="auto"/>
                <w:sz w:val="24"/>
                <w:szCs w:val="24"/>
                <w:highlight w:val="none"/>
                <w:lang w:val="en-US" w:eastAsia="zh-CN"/>
              </w:rPr>
              <w:t>生产车间全封闭，有组织废气由经收集后通过布袋除尘器处理后达标排放</w:t>
            </w:r>
            <w:r>
              <w:rPr>
                <w:rFonts w:hint="eastAsia" w:ascii="Times New Roman" w:hAnsi="Times New Roman" w:eastAsia="宋体" w:cs="Times New Roman"/>
                <w:color w:val="auto"/>
                <w:sz w:val="24"/>
                <w:szCs w:val="24"/>
                <w:highlight w:val="none"/>
                <w:lang w:eastAsia="zh-CN"/>
              </w:rPr>
              <w:t>，因此本项目废气排放对</w:t>
            </w:r>
            <w:r>
              <w:rPr>
                <w:rFonts w:hint="eastAsia" w:ascii="Times New Roman" w:hAnsi="Times New Roman" w:eastAsia="宋体" w:cs="Times New Roman"/>
                <w:color w:val="auto"/>
                <w:sz w:val="24"/>
                <w:szCs w:val="24"/>
                <w:highlight w:val="none"/>
                <w:lang w:val="en-US" w:eastAsia="zh-CN"/>
              </w:rPr>
              <w:t>闫李庄村</w:t>
            </w:r>
            <w:r>
              <w:rPr>
                <w:rFonts w:hint="eastAsia" w:ascii="Times New Roman" w:hAnsi="Times New Roman" w:eastAsia="宋体" w:cs="Times New Roman"/>
                <w:color w:val="auto"/>
                <w:sz w:val="24"/>
                <w:szCs w:val="24"/>
                <w:highlight w:val="none"/>
                <w:lang w:eastAsia="zh-CN"/>
              </w:rPr>
              <w:t>影响较小。</w:t>
            </w:r>
          </w:p>
          <w:p w14:paraId="4CF822E1">
            <w:pPr>
              <w:spacing w:line="360" w:lineRule="auto"/>
              <w:ind w:firstLine="482" w:firstLineChars="200"/>
              <w:jc w:val="both"/>
              <w:rPr>
                <w:rFonts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5 </w:t>
            </w:r>
            <w:r>
              <w:rPr>
                <w:rFonts w:hint="eastAsia" w:ascii="Times New Roman" w:hAnsi="Times New Roman" w:eastAsia="宋体" w:cs="Times New Roman"/>
                <w:b/>
                <w:color w:val="auto"/>
                <w:sz w:val="24"/>
                <w:szCs w:val="24"/>
                <w:highlight w:val="none"/>
                <w:lang w:eastAsia="zh-CN"/>
              </w:rPr>
              <w:t>废水</w:t>
            </w:r>
          </w:p>
          <w:p w14:paraId="7DFD674E">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本工程废水主要为初期雨水，经初期雨水池收集后回用于厂区抑尘洒水不外排。</w:t>
            </w:r>
          </w:p>
          <w:p w14:paraId="6BACEA19">
            <w:pPr>
              <w:spacing w:line="360" w:lineRule="auto"/>
              <w:ind w:firstLine="482" w:firstLineChars="200"/>
              <w:jc w:val="both"/>
              <w:rPr>
                <w:rFonts w:ascii="Times New Roman" w:hAnsi="Times New Roman" w:eastAsia="宋体" w:cs="Times New Roman"/>
                <w:b/>
                <w:color w:val="auto"/>
                <w:sz w:val="24"/>
                <w:szCs w:val="24"/>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6  </w:t>
            </w:r>
            <w:r>
              <w:rPr>
                <w:rFonts w:hint="eastAsia" w:ascii="Times New Roman" w:hAnsi="Times New Roman" w:eastAsia="宋体" w:cs="Times New Roman"/>
                <w:b/>
                <w:color w:val="auto"/>
                <w:sz w:val="24"/>
                <w:szCs w:val="24"/>
                <w:lang w:eastAsia="zh-CN"/>
              </w:rPr>
              <w:t>噪声</w:t>
            </w:r>
          </w:p>
          <w:p w14:paraId="2258C220">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（1）源强</w:t>
            </w:r>
          </w:p>
          <w:p w14:paraId="635089FE">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ascii="Times New Roman" w:hAnsi="Times New Roman" w:eastAsia="宋体" w:cs="Times New Roman"/>
                <w:color w:val="auto"/>
                <w:sz w:val="24"/>
                <w:szCs w:val="24"/>
                <w:lang w:eastAsia="zh-CN"/>
              </w:rPr>
              <w:t>本建设项目噪声源主要是</w:t>
            </w:r>
            <w:r>
              <w:rPr>
                <w:rFonts w:hint="eastAsia" w:ascii="Times New Roman" w:hAnsi="Times New Roman" w:eastAsia="宋体" w:cs="Times New Roman"/>
                <w:color w:val="auto"/>
                <w:sz w:val="24"/>
                <w:szCs w:val="24"/>
                <w:lang w:val="en-US" w:eastAsia="zh-CN"/>
              </w:rPr>
              <w:t>上料机、破碎机、风机</w:t>
            </w:r>
            <w:r>
              <w:rPr>
                <w:rFonts w:hint="eastAsia" w:ascii="Times New Roman" w:hAnsi="Times New Roman" w:eastAsia="宋体" w:cs="Times New Roman"/>
                <w:color w:val="auto"/>
                <w:sz w:val="24"/>
                <w:szCs w:val="24"/>
                <w:lang w:eastAsia="zh-CN"/>
              </w:rPr>
              <w:t>等设备产生的噪声，声源强度</w:t>
            </w:r>
            <w:r>
              <w:rPr>
                <w:rFonts w:hint="eastAsia" w:ascii="Times New Roman" w:hAnsi="Times New Roman" w:eastAsia="宋体" w:cs="Times New Roman"/>
                <w:color w:val="auto"/>
                <w:sz w:val="24"/>
                <w:szCs w:val="24"/>
                <w:lang w:val="en-US" w:eastAsia="zh-CN"/>
              </w:rPr>
              <w:t>见下表</w:t>
            </w:r>
            <w:r>
              <w:rPr>
                <w:rFonts w:ascii="Times New Roman" w:hAnsi="Times New Roman" w:eastAsia="宋体" w:cs="Times New Roman"/>
                <w:color w:val="auto"/>
                <w:sz w:val="24"/>
                <w:szCs w:val="24"/>
                <w:lang w:eastAsia="zh-CN"/>
              </w:rPr>
              <w:t>。运输车辆限速、禁鸣笛；装载机定期维护保持良好工况。</w:t>
            </w:r>
            <w:r>
              <w:rPr>
                <w:rFonts w:hint="eastAsia" w:ascii="Times New Roman" w:hAnsi="Times New Roman" w:eastAsia="宋体" w:cs="Times New Roman"/>
                <w:color w:val="auto"/>
                <w:sz w:val="24"/>
                <w:szCs w:val="24"/>
                <w:lang w:val="en-US" w:eastAsia="zh-CN"/>
              </w:rPr>
              <w:t>本次预测包括现有工程设备。</w:t>
            </w:r>
          </w:p>
          <w:p w14:paraId="03BD33F6">
            <w:pPr>
              <w:jc w:val="center"/>
              <w:rPr>
                <w:rFonts w:hint="eastAsia" w:ascii="Times New Roman" w:hAnsi="Times New Roman" w:eastAsia="宋体" w:cs="Times New Roman"/>
                <w:b/>
                <w:color w:val="auto"/>
                <w:sz w:val="21"/>
                <w:szCs w:val="21"/>
                <w:lang w:eastAsia="zh-CN"/>
              </w:rPr>
            </w:pPr>
            <w:r>
              <w:rPr>
                <w:rFonts w:hint="eastAsia" w:ascii="Times New Roman" w:hAnsi="Times New Roman" w:eastAsia="宋体" w:cs="Times New Roman"/>
                <w:b/>
                <w:color w:val="auto"/>
                <w:sz w:val="21"/>
                <w:szCs w:val="21"/>
                <w:lang w:eastAsia="zh-CN"/>
              </w:rPr>
              <w:t>表4</w:t>
            </w:r>
            <w:r>
              <w:rPr>
                <w:rFonts w:hint="eastAsia" w:ascii="Times New Roman" w:hAnsi="Times New Roman" w:eastAsia="宋体" w:cs="Times New Roman"/>
                <w:b/>
                <w:color w:val="auto"/>
                <w:sz w:val="21"/>
                <w:szCs w:val="21"/>
                <w:lang w:val="en-US" w:eastAsia="zh-CN"/>
              </w:rPr>
              <w:t>.6-1</w:t>
            </w:r>
            <w:r>
              <w:rPr>
                <w:rFonts w:hint="eastAsia" w:ascii="Times New Roman" w:hAnsi="Times New Roman" w:eastAsia="宋体" w:cs="Times New Roman"/>
                <w:b/>
                <w:color w:val="auto"/>
                <w:sz w:val="21"/>
                <w:szCs w:val="21"/>
                <w:lang w:eastAsia="zh-CN"/>
              </w:rPr>
              <w:t xml:space="preserve"> </w:t>
            </w:r>
            <w:r>
              <w:rPr>
                <w:rFonts w:hint="eastAsia" w:ascii="Times New Roman" w:hAnsi="Times New Roman" w:eastAsia="宋体" w:cs="Times New Roman"/>
                <w:b/>
                <w:color w:val="auto"/>
                <w:sz w:val="21"/>
                <w:szCs w:val="21"/>
                <w:lang w:val="en-US" w:eastAsia="zh-CN"/>
              </w:rPr>
              <w:t xml:space="preserve"> 主要噪声源降噪措施表 </w:t>
            </w:r>
          </w:p>
          <w:tbl>
            <w:tblPr>
              <w:tblStyle w:val="41"/>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7"/>
              <w:gridCol w:w="735"/>
              <w:gridCol w:w="750"/>
              <w:gridCol w:w="810"/>
              <w:gridCol w:w="2265"/>
              <w:gridCol w:w="885"/>
              <w:gridCol w:w="750"/>
              <w:gridCol w:w="810"/>
              <w:gridCol w:w="618"/>
            </w:tblGrid>
            <w:tr w14:paraId="49F9C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527" w:type="dxa"/>
                  <w:vMerge w:val="restart"/>
                  <w:vAlign w:val="center"/>
                </w:tcPr>
                <w:p w14:paraId="443AC958">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18" w:name="_Toc4933"/>
                  <w:r>
                    <w:rPr>
                      <w:rFonts w:hint="default" w:ascii="Times New Roman" w:hAnsi="Times New Roman" w:eastAsia="宋体" w:cs="Times New Roman"/>
                      <w:color w:val="auto"/>
                      <w:sz w:val="21"/>
                      <w:szCs w:val="21"/>
                      <w:highlight w:val="none"/>
                    </w:rPr>
                    <w:t>工序</w:t>
                  </w:r>
                  <w:bookmarkEnd w:id="18"/>
                </w:p>
              </w:tc>
              <w:tc>
                <w:tcPr>
                  <w:tcW w:w="735" w:type="dxa"/>
                  <w:vMerge w:val="restart"/>
                  <w:vAlign w:val="center"/>
                </w:tcPr>
                <w:p w14:paraId="1FC78485">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19" w:name="_Toc13348"/>
                  <w:r>
                    <w:rPr>
                      <w:rFonts w:hint="default" w:ascii="Times New Roman" w:hAnsi="Times New Roman" w:eastAsia="宋体" w:cs="Times New Roman"/>
                      <w:color w:val="auto"/>
                      <w:sz w:val="21"/>
                      <w:szCs w:val="21"/>
                      <w:highlight w:val="none"/>
                    </w:rPr>
                    <w:t>噪声源</w:t>
                  </w:r>
                  <w:bookmarkEnd w:id="19"/>
                </w:p>
              </w:tc>
              <w:tc>
                <w:tcPr>
                  <w:tcW w:w="1560" w:type="dxa"/>
                  <w:gridSpan w:val="2"/>
                  <w:vAlign w:val="center"/>
                </w:tcPr>
                <w:p w14:paraId="20AB5A04">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0" w:name="_Toc25537"/>
                  <w:r>
                    <w:rPr>
                      <w:rFonts w:hint="default" w:ascii="Times New Roman" w:hAnsi="Times New Roman" w:eastAsia="宋体" w:cs="Times New Roman"/>
                      <w:color w:val="auto"/>
                      <w:sz w:val="21"/>
                      <w:szCs w:val="21"/>
                      <w:highlight w:val="none"/>
                    </w:rPr>
                    <w:t>噪声源强</w:t>
                  </w:r>
                  <w:bookmarkEnd w:id="20"/>
                </w:p>
              </w:tc>
              <w:tc>
                <w:tcPr>
                  <w:tcW w:w="3150" w:type="dxa"/>
                  <w:gridSpan w:val="2"/>
                  <w:vAlign w:val="center"/>
                </w:tcPr>
                <w:p w14:paraId="62CF20CD">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1" w:name="_Toc23660"/>
                  <w:r>
                    <w:rPr>
                      <w:rFonts w:hint="default" w:ascii="Times New Roman" w:hAnsi="Times New Roman" w:eastAsia="宋体" w:cs="Times New Roman"/>
                      <w:color w:val="auto"/>
                      <w:sz w:val="21"/>
                      <w:szCs w:val="21"/>
                      <w:highlight w:val="none"/>
                    </w:rPr>
                    <w:t>降噪措施</w:t>
                  </w:r>
                  <w:bookmarkEnd w:id="21"/>
                </w:p>
              </w:tc>
              <w:tc>
                <w:tcPr>
                  <w:tcW w:w="1560" w:type="dxa"/>
                  <w:gridSpan w:val="2"/>
                  <w:vAlign w:val="center"/>
                </w:tcPr>
                <w:p w14:paraId="590CD2C4">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2" w:name="_Toc24917"/>
                  <w:r>
                    <w:rPr>
                      <w:rFonts w:hint="default" w:ascii="Times New Roman" w:hAnsi="Times New Roman" w:eastAsia="宋体" w:cs="Times New Roman"/>
                      <w:color w:val="auto"/>
                      <w:sz w:val="21"/>
                      <w:szCs w:val="21"/>
                      <w:highlight w:val="none"/>
                    </w:rPr>
                    <w:t>噪声排放量</w:t>
                  </w:r>
                  <w:bookmarkEnd w:id="22"/>
                </w:p>
              </w:tc>
              <w:tc>
                <w:tcPr>
                  <w:tcW w:w="618" w:type="dxa"/>
                  <w:vMerge w:val="restart"/>
                  <w:vAlign w:val="center"/>
                </w:tcPr>
                <w:p w14:paraId="53025050">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bookmarkStart w:id="23" w:name="_Toc13713"/>
                  <w:r>
                    <w:rPr>
                      <w:rFonts w:hint="default" w:ascii="Times New Roman" w:hAnsi="Times New Roman" w:eastAsia="宋体" w:cs="Times New Roman"/>
                      <w:color w:val="auto"/>
                      <w:sz w:val="21"/>
                      <w:szCs w:val="21"/>
                      <w:highlight w:val="none"/>
                    </w:rPr>
                    <w:t>持续时间h</w:t>
                  </w:r>
                  <w:bookmarkEnd w:id="23"/>
                  <w:r>
                    <w:rPr>
                      <w:rFonts w:hint="eastAsia" w:ascii="Times New Roman" w:hAnsi="Times New Roman" w:eastAsia="宋体" w:cs="Times New Roman"/>
                      <w:color w:val="auto"/>
                      <w:sz w:val="21"/>
                      <w:szCs w:val="21"/>
                      <w:highlight w:val="none"/>
                      <w:lang w:val="en-US" w:eastAsia="zh-CN"/>
                    </w:rPr>
                    <w:t>/d</w:t>
                  </w:r>
                </w:p>
              </w:tc>
            </w:tr>
            <w:tr w14:paraId="5731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527" w:type="dxa"/>
                  <w:vMerge w:val="continue"/>
                  <w:vAlign w:val="center"/>
                </w:tcPr>
                <w:p w14:paraId="1D687463">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735" w:type="dxa"/>
                  <w:vMerge w:val="continue"/>
                  <w:vAlign w:val="center"/>
                </w:tcPr>
                <w:p w14:paraId="734C4A58">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750" w:type="dxa"/>
                  <w:vAlign w:val="center"/>
                </w:tcPr>
                <w:p w14:paraId="6F6207A9">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4" w:name="_Toc13308"/>
                  <w:r>
                    <w:rPr>
                      <w:rFonts w:hint="default" w:ascii="Times New Roman" w:hAnsi="Times New Roman" w:eastAsia="宋体" w:cs="Times New Roman"/>
                      <w:color w:val="auto"/>
                      <w:sz w:val="21"/>
                      <w:szCs w:val="21"/>
                      <w:highlight w:val="none"/>
                    </w:rPr>
                    <w:t>核算方法</w:t>
                  </w:r>
                  <w:bookmarkEnd w:id="24"/>
                </w:p>
              </w:tc>
              <w:tc>
                <w:tcPr>
                  <w:tcW w:w="810" w:type="dxa"/>
                  <w:vAlign w:val="center"/>
                </w:tcPr>
                <w:p w14:paraId="2AAB95C5">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5" w:name="_Toc21485"/>
                  <w:r>
                    <w:rPr>
                      <w:rFonts w:hint="default" w:ascii="Times New Roman" w:hAnsi="Times New Roman" w:eastAsia="宋体" w:cs="Times New Roman"/>
                      <w:color w:val="auto"/>
                      <w:sz w:val="21"/>
                      <w:szCs w:val="21"/>
                      <w:highlight w:val="none"/>
                    </w:rPr>
                    <w:t>噪声值/dB（A）</w:t>
                  </w:r>
                  <w:bookmarkEnd w:id="25"/>
                </w:p>
              </w:tc>
              <w:tc>
                <w:tcPr>
                  <w:tcW w:w="2265" w:type="dxa"/>
                  <w:vAlign w:val="center"/>
                </w:tcPr>
                <w:p w14:paraId="3B1A1694">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6" w:name="_Toc7977"/>
                  <w:r>
                    <w:rPr>
                      <w:rFonts w:hint="default" w:ascii="Times New Roman" w:hAnsi="Times New Roman" w:eastAsia="宋体" w:cs="Times New Roman"/>
                      <w:color w:val="auto"/>
                      <w:sz w:val="21"/>
                      <w:szCs w:val="21"/>
                      <w:highlight w:val="none"/>
                    </w:rPr>
                    <w:t>措施</w:t>
                  </w:r>
                  <w:bookmarkEnd w:id="26"/>
                </w:p>
              </w:tc>
              <w:tc>
                <w:tcPr>
                  <w:tcW w:w="885" w:type="dxa"/>
                  <w:vAlign w:val="center"/>
                </w:tcPr>
                <w:p w14:paraId="59F3B108">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7" w:name="_Toc14393"/>
                  <w:r>
                    <w:rPr>
                      <w:rFonts w:hint="default" w:ascii="Times New Roman" w:hAnsi="Times New Roman" w:eastAsia="宋体" w:cs="Times New Roman"/>
                      <w:color w:val="auto"/>
                      <w:sz w:val="21"/>
                      <w:szCs w:val="21"/>
                      <w:highlight w:val="none"/>
                    </w:rPr>
                    <w:t>降噪效果/dB（A）</w:t>
                  </w:r>
                  <w:bookmarkEnd w:id="27"/>
                </w:p>
              </w:tc>
              <w:tc>
                <w:tcPr>
                  <w:tcW w:w="750" w:type="dxa"/>
                  <w:vAlign w:val="center"/>
                </w:tcPr>
                <w:p w14:paraId="6B682AB4">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8" w:name="_Toc18666"/>
                  <w:r>
                    <w:rPr>
                      <w:rFonts w:hint="default" w:ascii="Times New Roman" w:hAnsi="Times New Roman" w:eastAsia="宋体" w:cs="Times New Roman"/>
                      <w:color w:val="auto"/>
                      <w:sz w:val="21"/>
                      <w:szCs w:val="21"/>
                      <w:highlight w:val="none"/>
                    </w:rPr>
                    <w:t>核算方法</w:t>
                  </w:r>
                  <w:bookmarkEnd w:id="28"/>
                </w:p>
              </w:tc>
              <w:tc>
                <w:tcPr>
                  <w:tcW w:w="810" w:type="dxa"/>
                  <w:vAlign w:val="center"/>
                </w:tcPr>
                <w:p w14:paraId="379767E4">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bookmarkStart w:id="29" w:name="_Toc29614"/>
                  <w:r>
                    <w:rPr>
                      <w:rFonts w:hint="default" w:ascii="Times New Roman" w:hAnsi="Times New Roman" w:eastAsia="宋体" w:cs="Times New Roman"/>
                      <w:color w:val="auto"/>
                      <w:sz w:val="21"/>
                      <w:szCs w:val="21"/>
                      <w:highlight w:val="none"/>
                    </w:rPr>
                    <w:t>噪声值/dB（A）</w:t>
                  </w:r>
                  <w:bookmarkEnd w:id="29"/>
                </w:p>
              </w:tc>
              <w:tc>
                <w:tcPr>
                  <w:tcW w:w="618" w:type="dxa"/>
                  <w:vMerge w:val="continue"/>
                  <w:vAlign w:val="center"/>
                </w:tcPr>
                <w:p w14:paraId="0F6C5B9C">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r>
            <w:tr w14:paraId="482C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jc w:val="center"/>
              </w:trPr>
              <w:tc>
                <w:tcPr>
                  <w:tcW w:w="527" w:type="dxa"/>
                  <w:vMerge w:val="restart"/>
                  <w:vAlign w:val="center"/>
                </w:tcPr>
                <w:p w14:paraId="451EAD03">
                  <w:pPr>
                    <w:pStyle w:val="79"/>
                    <w:autoSpaceDE w:val="0"/>
                    <w:autoSpaceDN w:val="0"/>
                    <w:ind w:left="0" w:leftChars="0" w:right="0" w:rightChars="0"/>
                    <w:jc w:val="both"/>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本工程生产车间</w:t>
                  </w:r>
                </w:p>
              </w:tc>
              <w:tc>
                <w:tcPr>
                  <w:tcW w:w="735" w:type="dxa"/>
                  <w:vAlign w:val="center"/>
                </w:tcPr>
                <w:p w14:paraId="025B12A0">
                  <w:pP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lang w:val="en-US" w:eastAsia="zh-CN"/>
                    </w:rPr>
                    <w:t>上料机</w:t>
                  </w:r>
                </w:p>
              </w:tc>
              <w:tc>
                <w:tcPr>
                  <w:tcW w:w="750" w:type="dxa"/>
                  <w:vAlign w:val="center"/>
                </w:tcPr>
                <w:p w14:paraId="01494F18">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10430CA7">
                  <w:pPr>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lang w:val="en-US" w:eastAsia="zh-CN"/>
                    </w:rPr>
                    <w:t>80</w:t>
                  </w:r>
                </w:p>
              </w:tc>
              <w:tc>
                <w:tcPr>
                  <w:tcW w:w="2265" w:type="dxa"/>
                  <w:vMerge w:val="restart"/>
                  <w:vAlign w:val="center"/>
                </w:tcPr>
                <w:p w14:paraId="1A7949CB">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选用低噪设备、生产设备全部位于室内，</w:t>
                  </w:r>
                  <w:r>
                    <w:rPr>
                      <w:rFonts w:hint="eastAsia" w:ascii="Times New Roman" w:hAnsi="Times New Roman" w:eastAsia="宋体" w:cs="Times New Roman"/>
                      <w:color w:val="auto"/>
                      <w:sz w:val="21"/>
                      <w:szCs w:val="21"/>
                      <w:highlight w:val="none"/>
                      <w:lang w:val="en-US" w:eastAsia="zh-CN"/>
                    </w:rPr>
                    <w:t>设置</w:t>
                  </w:r>
                  <w:r>
                    <w:rPr>
                      <w:rFonts w:hint="eastAsia" w:ascii="Times New Roman" w:hAnsi="Times New Roman" w:eastAsia="宋体" w:cs="Times New Roman"/>
                      <w:color w:val="auto"/>
                      <w:sz w:val="21"/>
                      <w:szCs w:val="21"/>
                      <w:highlight w:val="none"/>
                      <w:lang w:eastAsia="zh-CN"/>
                    </w:rPr>
                    <w:t>基础减震、建筑物隔声等</w:t>
                  </w:r>
                  <w:r>
                    <w:rPr>
                      <w:rFonts w:hint="eastAsia" w:ascii="Times New Roman" w:hAnsi="Times New Roman" w:eastAsia="宋体" w:cs="Times New Roman"/>
                      <w:color w:val="auto"/>
                      <w:sz w:val="21"/>
                      <w:szCs w:val="21"/>
                      <w:highlight w:val="none"/>
                      <w:lang w:val="en-US" w:eastAsia="zh-CN"/>
                    </w:rPr>
                    <w:t>措施</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lang w:eastAsia="zh-CN"/>
                    </w:rPr>
                    <w:t>运输车辆限速、禁鸣笛；装载机定期维护保持良好工况</w:t>
                  </w:r>
                </w:p>
              </w:tc>
              <w:tc>
                <w:tcPr>
                  <w:tcW w:w="885" w:type="dxa"/>
                  <w:vAlign w:val="center"/>
                </w:tcPr>
                <w:p w14:paraId="10E23D7F">
                  <w:pPr>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20DAF817">
                  <w:pPr>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67DA47B4">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65</w:t>
                  </w:r>
                </w:p>
              </w:tc>
              <w:tc>
                <w:tcPr>
                  <w:tcW w:w="618" w:type="dxa"/>
                  <w:vAlign w:val="center"/>
                </w:tcPr>
                <w:p w14:paraId="437A550E">
                  <w:pPr>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r>
            <w:tr w14:paraId="44B0C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continue"/>
                  <w:vAlign w:val="center"/>
                </w:tcPr>
                <w:p w14:paraId="60CC0BB8">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eastAsia="zh-CN"/>
                    </w:rPr>
                  </w:pPr>
                </w:p>
              </w:tc>
              <w:tc>
                <w:tcPr>
                  <w:tcW w:w="735" w:type="dxa"/>
                  <w:vAlign w:val="center"/>
                </w:tcPr>
                <w:p w14:paraId="202727E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val="en-US" w:eastAsia="zh-CN"/>
                    </w:rPr>
                    <w:t>破碎</w:t>
                  </w:r>
                  <w:r>
                    <w:rPr>
                      <w:rFonts w:hint="eastAsia" w:ascii="Times New Roman" w:hAnsi="Times New Roman" w:eastAsia="宋体" w:cs="Times New Roman"/>
                      <w:sz w:val="21"/>
                      <w:szCs w:val="21"/>
                      <w:lang w:eastAsia="zh-CN"/>
                    </w:rPr>
                    <w:t>机</w:t>
                  </w:r>
                </w:p>
              </w:tc>
              <w:tc>
                <w:tcPr>
                  <w:tcW w:w="750" w:type="dxa"/>
                  <w:vAlign w:val="center"/>
                </w:tcPr>
                <w:p w14:paraId="6D2BCB09">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0713925D">
                  <w:pPr>
                    <w:jc w:val="center"/>
                    <w:rPr>
                      <w:rFonts w:hint="default" w:ascii="Times New Roman" w:hAnsi="Times New Roman" w:cs="Times New Roman"/>
                      <w:color w:val="auto"/>
                      <w:sz w:val="21"/>
                      <w:szCs w:val="21"/>
                      <w:lang w:val="en-US" w:eastAsia="zh-CN"/>
                    </w:rPr>
                  </w:pPr>
                  <w:r>
                    <w:rPr>
                      <w:rFonts w:hint="eastAsia" w:ascii="Times New Roman" w:hAnsi="Times New Roman" w:eastAsia="宋体" w:cs="Times New Roman"/>
                      <w:b w:val="0"/>
                      <w:bCs/>
                      <w:sz w:val="21"/>
                      <w:szCs w:val="21"/>
                      <w:lang w:val="en-US" w:eastAsia="zh-CN"/>
                    </w:rPr>
                    <w:t>85</w:t>
                  </w:r>
                </w:p>
              </w:tc>
              <w:tc>
                <w:tcPr>
                  <w:tcW w:w="2265" w:type="dxa"/>
                  <w:vMerge w:val="continue"/>
                  <w:vAlign w:val="center"/>
                </w:tcPr>
                <w:p w14:paraId="3B320B3B">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6B3ACE2C">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6C981EF9">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4E209E08">
                  <w:pPr>
                    <w:pStyle w:val="79"/>
                    <w:autoSpaceDE w:val="0"/>
                    <w:autoSpaceDN w:val="0"/>
                    <w:ind w:left="0" w:leftChars="0" w:right="0" w:rightChars="0"/>
                    <w:jc w:val="center"/>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618" w:type="dxa"/>
                  <w:vAlign w:val="center"/>
                </w:tcPr>
                <w:p w14:paraId="4437EAFF">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r>
            <w:tr w14:paraId="21BD2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continue"/>
                  <w:vAlign w:val="center"/>
                </w:tcPr>
                <w:p w14:paraId="2C9254FD">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eastAsia="zh-CN"/>
                    </w:rPr>
                  </w:pPr>
                </w:p>
              </w:tc>
              <w:tc>
                <w:tcPr>
                  <w:tcW w:w="735" w:type="dxa"/>
                  <w:vAlign w:val="center"/>
                </w:tcPr>
                <w:p w14:paraId="739AF4B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提升机</w:t>
                  </w:r>
                </w:p>
              </w:tc>
              <w:tc>
                <w:tcPr>
                  <w:tcW w:w="750" w:type="dxa"/>
                  <w:vAlign w:val="center"/>
                </w:tcPr>
                <w:p w14:paraId="447E236D">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0505411E">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265" w:type="dxa"/>
                  <w:vMerge w:val="continue"/>
                  <w:vAlign w:val="center"/>
                </w:tcPr>
                <w:p w14:paraId="0DFB4679">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288273CA">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743F37CB">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143CF553">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65</w:t>
                  </w:r>
                </w:p>
              </w:tc>
              <w:tc>
                <w:tcPr>
                  <w:tcW w:w="618" w:type="dxa"/>
                  <w:vAlign w:val="center"/>
                </w:tcPr>
                <w:p w14:paraId="4F24E3B3">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r>
            <w:tr w14:paraId="6D7D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continue"/>
                  <w:vAlign w:val="center"/>
                </w:tcPr>
                <w:p w14:paraId="2B5445E1">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735" w:type="dxa"/>
                  <w:vAlign w:val="center"/>
                </w:tcPr>
                <w:p w14:paraId="2AED1C34">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风机</w:t>
                  </w:r>
                </w:p>
              </w:tc>
              <w:tc>
                <w:tcPr>
                  <w:tcW w:w="750" w:type="dxa"/>
                  <w:vAlign w:val="center"/>
                </w:tcPr>
                <w:p w14:paraId="2B3C1A68">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35E1B74B">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90</w:t>
                  </w:r>
                </w:p>
              </w:tc>
              <w:tc>
                <w:tcPr>
                  <w:tcW w:w="2265" w:type="dxa"/>
                  <w:vMerge w:val="continue"/>
                  <w:vAlign w:val="center"/>
                </w:tcPr>
                <w:p w14:paraId="17468258">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77078F20">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350D8F69">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1E4C66AB">
                  <w:pPr>
                    <w:pStyle w:val="79"/>
                    <w:autoSpaceDE w:val="0"/>
                    <w:autoSpaceDN w:val="0"/>
                    <w:ind w:left="0" w:leftChars="0" w:right="0" w:rightChars="0"/>
                    <w:jc w:val="center"/>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618" w:type="dxa"/>
                  <w:vAlign w:val="center"/>
                </w:tcPr>
                <w:p w14:paraId="4E2DEE53">
                  <w:pPr>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8</w:t>
                  </w:r>
                </w:p>
              </w:tc>
            </w:tr>
            <w:tr w14:paraId="01B07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restart"/>
                  <w:vAlign w:val="center"/>
                </w:tcPr>
                <w:p w14:paraId="17EE7285">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sz w:val="21"/>
                      <w:szCs w:val="21"/>
                      <w:lang w:val="en-US" w:eastAsia="zh-CN"/>
                    </w:rPr>
                    <w:t>现有工程筛分车间</w:t>
                  </w:r>
                </w:p>
              </w:tc>
              <w:tc>
                <w:tcPr>
                  <w:tcW w:w="735" w:type="dxa"/>
                  <w:vAlign w:val="center"/>
                </w:tcPr>
                <w:p w14:paraId="7FF27197">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筛分机</w:t>
                  </w:r>
                </w:p>
              </w:tc>
              <w:tc>
                <w:tcPr>
                  <w:tcW w:w="750" w:type="dxa"/>
                  <w:vAlign w:val="center"/>
                </w:tcPr>
                <w:p w14:paraId="4166A1B7">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6282EBC6">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w:t>
                  </w:r>
                </w:p>
              </w:tc>
              <w:tc>
                <w:tcPr>
                  <w:tcW w:w="2265" w:type="dxa"/>
                  <w:vMerge w:val="continue"/>
                  <w:vAlign w:val="center"/>
                </w:tcPr>
                <w:p w14:paraId="427DD2E9">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688465A8">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684F7C7A">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7BBD5678">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618" w:type="dxa"/>
                  <w:vAlign w:val="center"/>
                </w:tcPr>
                <w:p w14:paraId="55F2957C">
                  <w:pPr>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1F899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continue"/>
                  <w:vAlign w:val="center"/>
                </w:tcPr>
                <w:p w14:paraId="3E345F45">
                  <w:pPr>
                    <w:pStyle w:val="79"/>
                    <w:autoSpaceDE w:val="0"/>
                    <w:autoSpaceDN w:val="0"/>
                    <w:ind w:left="0" w:leftChars="0" w:right="0" w:rightChars="0"/>
                    <w:jc w:val="center"/>
                    <w:outlineLvl w:val="9"/>
                    <w:rPr>
                      <w:rFonts w:hint="eastAsia" w:ascii="Times New Roman" w:hAnsi="Times New Roman" w:eastAsia="宋体" w:cs="Times New Roman"/>
                      <w:b w:val="0"/>
                      <w:bCs/>
                      <w:sz w:val="21"/>
                      <w:szCs w:val="21"/>
                      <w:lang w:val="en-US" w:eastAsia="zh-CN"/>
                    </w:rPr>
                  </w:pPr>
                </w:p>
              </w:tc>
              <w:tc>
                <w:tcPr>
                  <w:tcW w:w="735" w:type="dxa"/>
                  <w:vAlign w:val="center"/>
                </w:tcPr>
                <w:p w14:paraId="73FA372E">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风机</w:t>
                  </w:r>
                </w:p>
              </w:tc>
              <w:tc>
                <w:tcPr>
                  <w:tcW w:w="750" w:type="dxa"/>
                  <w:vAlign w:val="center"/>
                </w:tcPr>
                <w:p w14:paraId="68B64B42">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4D3EF242">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90</w:t>
                  </w:r>
                </w:p>
              </w:tc>
              <w:tc>
                <w:tcPr>
                  <w:tcW w:w="2265" w:type="dxa"/>
                  <w:vMerge w:val="continue"/>
                  <w:vAlign w:val="center"/>
                </w:tcPr>
                <w:p w14:paraId="73BC444C">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4EC85A36">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749E52B8">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46CED35A">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618" w:type="dxa"/>
                  <w:vAlign w:val="center"/>
                </w:tcPr>
                <w:p w14:paraId="5DA72924">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1C72F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restart"/>
                  <w:vAlign w:val="center"/>
                </w:tcPr>
                <w:p w14:paraId="23042ED9">
                  <w:pPr>
                    <w:pStyle w:val="79"/>
                    <w:autoSpaceDE w:val="0"/>
                    <w:autoSpaceDN w:val="0"/>
                    <w:ind w:left="0" w:leftChars="0" w:right="0" w:rightChars="0"/>
                    <w:jc w:val="center"/>
                    <w:outlineLvl w:val="9"/>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现有工程成品车间</w:t>
                  </w:r>
                </w:p>
              </w:tc>
              <w:tc>
                <w:tcPr>
                  <w:tcW w:w="735" w:type="dxa"/>
                  <w:vAlign w:val="center"/>
                </w:tcPr>
                <w:p w14:paraId="234701C6">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筛分机</w:t>
                  </w:r>
                </w:p>
              </w:tc>
              <w:tc>
                <w:tcPr>
                  <w:tcW w:w="750" w:type="dxa"/>
                  <w:vAlign w:val="center"/>
                </w:tcPr>
                <w:p w14:paraId="356FA979">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3AC9A876">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w:t>
                  </w:r>
                </w:p>
              </w:tc>
              <w:tc>
                <w:tcPr>
                  <w:tcW w:w="2265" w:type="dxa"/>
                  <w:vMerge w:val="continue"/>
                  <w:vAlign w:val="center"/>
                </w:tcPr>
                <w:p w14:paraId="2E563F1C">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4A3EE7BE">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36991507">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55D449AF">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618" w:type="dxa"/>
                  <w:vAlign w:val="center"/>
                </w:tcPr>
                <w:p w14:paraId="0B4EEE0B">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4DB81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Merge w:val="continue"/>
                  <w:vAlign w:val="center"/>
                </w:tcPr>
                <w:p w14:paraId="5DF736A6">
                  <w:pPr>
                    <w:pStyle w:val="79"/>
                    <w:autoSpaceDE w:val="0"/>
                    <w:autoSpaceDN w:val="0"/>
                    <w:ind w:left="0" w:leftChars="0" w:right="0" w:rightChars="0"/>
                    <w:jc w:val="center"/>
                    <w:outlineLvl w:val="9"/>
                    <w:rPr>
                      <w:rFonts w:hint="eastAsia" w:ascii="Times New Roman" w:hAnsi="Times New Roman" w:eastAsia="宋体" w:cs="Times New Roman"/>
                      <w:b w:val="0"/>
                      <w:bCs/>
                      <w:sz w:val="21"/>
                      <w:szCs w:val="21"/>
                      <w:lang w:val="en-US" w:eastAsia="zh-CN"/>
                    </w:rPr>
                  </w:pPr>
                </w:p>
              </w:tc>
              <w:tc>
                <w:tcPr>
                  <w:tcW w:w="735" w:type="dxa"/>
                  <w:vAlign w:val="center"/>
                </w:tcPr>
                <w:p w14:paraId="62B22612">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风机</w:t>
                  </w:r>
                </w:p>
              </w:tc>
              <w:tc>
                <w:tcPr>
                  <w:tcW w:w="750" w:type="dxa"/>
                  <w:vAlign w:val="center"/>
                </w:tcPr>
                <w:p w14:paraId="36B8C549">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7A59DFA2">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90</w:t>
                  </w:r>
                </w:p>
              </w:tc>
              <w:tc>
                <w:tcPr>
                  <w:tcW w:w="2265" w:type="dxa"/>
                  <w:vMerge w:val="continue"/>
                  <w:vAlign w:val="center"/>
                </w:tcPr>
                <w:p w14:paraId="5DBFB1BD">
                  <w:pPr>
                    <w:pStyle w:val="79"/>
                    <w:autoSpaceDE w:val="0"/>
                    <w:autoSpaceDN w:val="0"/>
                    <w:ind w:left="0" w:leftChars="0" w:right="0" w:rightChars="0"/>
                    <w:jc w:val="center"/>
                    <w:outlineLvl w:val="9"/>
                    <w:rPr>
                      <w:rFonts w:hint="default" w:ascii="Times New Roman" w:hAnsi="Times New Roman" w:eastAsia="宋体" w:cs="Times New Roman"/>
                      <w:color w:val="auto"/>
                      <w:sz w:val="21"/>
                      <w:szCs w:val="21"/>
                      <w:highlight w:val="none"/>
                    </w:rPr>
                  </w:pPr>
                </w:p>
              </w:tc>
              <w:tc>
                <w:tcPr>
                  <w:tcW w:w="885" w:type="dxa"/>
                  <w:vAlign w:val="center"/>
                </w:tcPr>
                <w:p w14:paraId="1AB0151C">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639C1997">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24182693">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618" w:type="dxa"/>
                  <w:vAlign w:val="center"/>
                </w:tcPr>
                <w:p w14:paraId="3A6DA6A9">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2736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27" w:type="dxa"/>
                  <w:vAlign w:val="center"/>
                </w:tcPr>
                <w:p w14:paraId="5B18193F">
                  <w:pPr>
                    <w:pStyle w:val="79"/>
                    <w:autoSpaceDE w:val="0"/>
                    <w:autoSpaceDN w:val="0"/>
                    <w:ind w:left="0" w:leftChars="0" w:right="0" w:rightChars="0"/>
                    <w:jc w:val="center"/>
                    <w:outlineLvl w:val="9"/>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现有工程废气治理</w:t>
                  </w:r>
                </w:p>
              </w:tc>
              <w:tc>
                <w:tcPr>
                  <w:tcW w:w="735" w:type="dxa"/>
                  <w:vAlign w:val="center"/>
                </w:tcPr>
                <w:p w14:paraId="28C99086">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风机</w:t>
                  </w:r>
                </w:p>
              </w:tc>
              <w:tc>
                <w:tcPr>
                  <w:tcW w:w="750" w:type="dxa"/>
                  <w:vAlign w:val="center"/>
                </w:tcPr>
                <w:p w14:paraId="20237704">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3D00C2C9">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w:t>
                  </w:r>
                </w:p>
              </w:tc>
              <w:tc>
                <w:tcPr>
                  <w:tcW w:w="2265" w:type="dxa"/>
                  <w:vAlign w:val="center"/>
                </w:tcPr>
                <w:p w14:paraId="4BFBC801">
                  <w:pPr>
                    <w:pStyle w:val="79"/>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选用低噪设备、</w:t>
                  </w:r>
                  <w:r>
                    <w:rPr>
                      <w:rFonts w:hint="eastAsia" w:ascii="Times New Roman" w:hAnsi="Times New Roman" w:eastAsia="宋体" w:cs="Times New Roman"/>
                      <w:color w:val="auto"/>
                      <w:sz w:val="21"/>
                      <w:szCs w:val="21"/>
                      <w:highlight w:val="none"/>
                      <w:lang w:val="en-US" w:eastAsia="zh-CN"/>
                    </w:rPr>
                    <w:t>消声器</w:t>
                  </w:r>
                </w:p>
              </w:tc>
              <w:tc>
                <w:tcPr>
                  <w:tcW w:w="885" w:type="dxa"/>
                  <w:vAlign w:val="center"/>
                </w:tcPr>
                <w:p w14:paraId="36436C68">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vAlign w:val="center"/>
                </w:tcPr>
                <w:p w14:paraId="2560C1F3">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类比法</w:t>
                  </w:r>
                </w:p>
              </w:tc>
              <w:tc>
                <w:tcPr>
                  <w:tcW w:w="810" w:type="dxa"/>
                  <w:vAlign w:val="center"/>
                </w:tcPr>
                <w:p w14:paraId="02CD88B0">
                  <w:pPr>
                    <w:pStyle w:val="79"/>
                    <w:autoSpaceDE w:val="0"/>
                    <w:autoSpaceDN w:val="0"/>
                    <w:ind w:left="0" w:leftChars="0" w:right="0" w:right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618" w:type="dxa"/>
                  <w:vAlign w:val="center"/>
                </w:tcPr>
                <w:p w14:paraId="4FA70E85">
                  <w:pPr>
                    <w:autoSpaceDE w:val="0"/>
                    <w:autoSpaceDN w:val="0"/>
                    <w:ind w:left="0" w:leftChars="0" w:right="0" w:right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bl>
          <w:p w14:paraId="6D7D02F4">
            <w:pPr>
              <w:adjustRightInd w:val="0"/>
              <w:jc w:val="center"/>
              <w:rPr>
                <w:rFonts w:ascii="Times New Roman" w:hAnsi="Times New Roman" w:eastAsia="宋体" w:cs="Times New Roman"/>
                <w:b/>
                <w:color w:val="auto"/>
                <w:sz w:val="21"/>
                <w:szCs w:val="21"/>
                <w:lang w:eastAsia="zh-CN"/>
              </w:rPr>
            </w:pPr>
          </w:p>
          <w:p w14:paraId="11B958AB">
            <w:pPr>
              <w:spacing w:line="360" w:lineRule="auto"/>
              <w:jc w:val="both"/>
              <w:rPr>
                <w:rFonts w:hint="eastAsia" w:ascii="Times New Roman" w:hAnsi="Times New Roman" w:eastAsia="宋体" w:cs="Times New Roman"/>
                <w:color w:val="auto"/>
                <w:sz w:val="24"/>
                <w:szCs w:val="24"/>
                <w:lang w:val="en-US" w:eastAsia="zh-CN"/>
              </w:rPr>
            </w:pPr>
          </w:p>
          <w:p w14:paraId="659BA199">
            <w:pPr>
              <w:spacing w:line="360" w:lineRule="auto"/>
              <w:jc w:val="both"/>
              <w:rPr>
                <w:rFonts w:hint="eastAsia" w:ascii="Times New Roman" w:hAnsi="Times New Roman" w:eastAsia="宋体" w:cs="Times New Roman"/>
                <w:color w:val="auto"/>
                <w:sz w:val="24"/>
                <w:szCs w:val="24"/>
                <w:lang w:val="en-US" w:eastAsia="zh-CN"/>
              </w:rPr>
            </w:pPr>
          </w:p>
          <w:p w14:paraId="1164F327">
            <w:pPr>
              <w:spacing w:line="360" w:lineRule="auto"/>
              <w:jc w:val="both"/>
              <w:rPr>
                <w:rFonts w:hint="eastAsia" w:ascii="Times New Roman" w:hAnsi="Times New Roman" w:eastAsia="宋体" w:cs="Times New Roman"/>
                <w:color w:val="auto"/>
                <w:sz w:val="24"/>
                <w:szCs w:val="24"/>
                <w:lang w:val="en-US" w:eastAsia="zh-CN"/>
              </w:rPr>
            </w:pPr>
          </w:p>
          <w:p w14:paraId="3CB06846">
            <w:pPr>
              <w:spacing w:line="360" w:lineRule="auto"/>
              <w:jc w:val="both"/>
              <w:rPr>
                <w:rFonts w:hint="eastAsia" w:ascii="Times New Roman" w:hAnsi="Times New Roman" w:eastAsia="宋体" w:cs="Times New Roman"/>
                <w:color w:val="auto"/>
                <w:sz w:val="24"/>
                <w:szCs w:val="24"/>
                <w:lang w:val="en-US" w:eastAsia="zh-CN"/>
              </w:rPr>
            </w:pPr>
          </w:p>
          <w:p w14:paraId="69CA62BB">
            <w:pPr>
              <w:spacing w:line="360" w:lineRule="auto"/>
              <w:jc w:val="both"/>
              <w:rPr>
                <w:rFonts w:hint="eastAsia" w:ascii="Times New Roman" w:hAnsi="Times New Roman" w:eastAsia="宋体" w:cs="Times New Roman"/>
                <w:color w:val="auto"/>
                <w:sz w:val="24"/>
                <w:szCs w:val="24"/>
                <w:lang w:val="en-US" w:eastAsia="zh-CN"/>
              </w:rPr>
            </w:pPr>
          </w:p>
          <w:p w14:paraId="545024AC">
            <w:pPr>
              <w:spacing w:line="360" w:lineRule="auto"/>
              <w:jc w:val="both"/>
              <w:rPr>
                <w:rFonts w:hint="eastAsia" w:ascii="Times New Roman" w:hAnsi="Times New Roman" w:eastAsia="宋体" w:cs="Times New Roman"/>
                <w:color w:val="auto"/>
                <w:sz w:val="24"/>
                <w:szCs w:val="24"/>
                <w:lang w:val="en-US" w:eastAsia="zh-CN"/>
              </w:rPr>
            </w:pPr>
          </w:p>
          <w:p w14:paraId="39E6AA46">
            <w:pPr>
              <w:spacing w:line="360" w:lineRule="auto"/>
              <w:jc w:val="both"/>
              <w:rPr>
                <w:rFonts w:hint="eastAsia" w:ascii="Times New Roman" w:hAnsi="Times New Roman" w:eastAsia="宋体" w:cs="Times New Roman"/>
                <w:color w:val="auto"/>
                <w:sz w:val="24"/>
                <w:szCs w:val="24"/>
                <w:lang w:val="en-US" w:eastAsia="zh-CN"/>
              </w:rPr>
            </w:pPr>
          </w:p>
          <w:p w14:paraId="0757318D">
            <w:pPr>
              <w:spacing w:line="360" w:lineRule="auto"/>
              <w:jc w:val="both"/>
              <w:rPr>
                <w:rFonts w:hint="eastAsia" w:ascii="Times New Roman" w:hAnsi="Times New Roman" w:eastAsia="宋体" w:cs="Times New Roman"/>
                <w:color w:val="auto"/>
                <w:sz w:val="24"/>
                <w:szCs w:val="24"/>
                <w:lang w:val="en-US" w:eastAsia="zh-CN"/>
              </w:rPr>
            </w:pPr>
          </w:p>
          <w:p w14:paraId="76318ED2">
            <w:pPr>
              <w:spacing w:line="360" w:lineRule="auto"/>
              <w:jc w:val="both"/>
              <w:rPr>
                <w:rFonts w:hint="default" w:ascii="Times New Roman" w:hAnsi="Times New Roman" w:eastAsia="宋体" w:cs="Times New Roman"/>
                <w:color w:val="auto"/>
                <w:sz w:val="24"/>
                <w:szCs w:val="24"/>
                <w:lang w:val="en-US" w:eastAsia="zh-CN"/>
              </w:rPr>
            </w:pPr>
          </w:p>
        </w:tc>
      </w:tr>
    </w:tbl>
    <w:p w14:paraId="3250E35C">
      <w:pPr>
        <w:rPr>
          <w:rFonts w:ascii="Times New Roman" w:hAnsi="Times New Roman" w:eastAsia="宋体" w:cs="Times New Roman"/>
          <w:color w:val="auto"/>
        </w:rPr>
        <w:sectPr>
          <w:pgSz w:w="11910" w:h="16840"/>
          <w:pgMar w:top="1600" w:right="1380" w:bottom="1240" w:left="1380" w:header="0" w:footer="680" w:gutter="0"/>
          <w:pgBorders>
            <w:top w:val="none" w:sz="0" w:space="0"/>
            <w:left w:val="none" w:sz="0" w:space="0"/>
            <w:bottom w:val="none" w:sz="0" w:space="0"/>
            <w:right w:val="none" w:sz="0" w:space="0"/>
          </w:pgBorders>
          <w:cols w:space="720" w:num="1"/>
          <w:docGrid w:linePitch="299" w:charSpace="0"/>
        </w:sectPr>
      </w:pPr>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3482"/>
      </w:tblGrid>
      <w:tr w14:paraId="209ED6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tcPr>
          <w:p w14:paraId="1C670B63">
            <w:pPr>
              <w:jc w:val="both"/>
              <w:rPr>
                <w:rFonts w:ascii="Times New Roman" w:hAnsi="Times New Roman" w:eastAsia="宋体" w:cs="Times New Roman"/>
                <w:color w:val="auto"/>
                <w:vertAlign w:val="baseline"/>
              </w:rPr>
            </w:pPr>
          </w:p>
        </w:tc>
        <w:tc>
          <w:tcPr>
            <w:tcW w:w="13482" w:type="dxa"/>
            <w:tcBorders>
              <w:tl2br w:val="nil"/>
              <w:tr2bl w:val="nil"/>
            </w:tcBorders>
          </w:tcPr>
          <w:p w14:paraId="707101B6">
            <w:pPr>
              <w:jc w:val="center"/>
              <w:rPr>
                <w:rFonts w:ascii="Times New Roman" w:hAnsi="Times New Roman" w:eastAsia="宋体" w:cs="Times New Roman"/>
                <w:b/>
                <w:color w:val="000000" w:themeColor="text1"/>
                <w:sz w:val="21"/>
                <w:szCs w:val="21"/>
                <w:highlight w:val="none"/>
                <w:lang w:eastAsia="zh-CN"/>
              </w:rPr>
            </w:pPr>
            <w:r>
              <w:rPr>
                <w:rFonts w:ascii="Times New Roman" w:hAnsi="Times New Roman" w:eastAsia="宋体" w:cs="Times New Roman"/>
                <w:b/>
                <w:color w:val="000000" w:themeColor="text1"/>
                <w:sz w:val="21"/>
                <w:szCs w:val="21"/>
                <w:highlight w:val="none"/>
                <w:lang w:eastAsia="zh-CN"/>
              </w:rPr>
              <w:t>表</w:t>
            </w:r>
            <w:r>
              <w:rPr>
                <w:rFonts w:hint="eastAsia" w:ascii="Times New Roman" w:hAnsi="Times New Roman" w:eastAsia="宋体" w:cs="Times New Roman"/>
                <w:b/>
                <w:color w:val="auto"/>
                <w:sz w:val="21"/>
                <w:szCs w:val="21"/>
                <w:highlight w:val="none"/>
                <w:lang w:eastAsia="zh-CN"/>
              </w:rPr>
              <w:t>4</w:t>
            </w:r>
            <w:r>
              <w:rPr>
                <w:rFonts w:hint="eastAsia" w:ascii="Times New Roman" w:hAnsi="Times New Roman" w:eastAsia="宋体" w:cs="Times New Roman"/>
                <w:b/>
                <w:color w:val="auto"/>
                <w:sz w:val="21"/>
                <w:szCs w:val="21"/>
                <w:highlight w:val="none"/>
                <w:lang w:val="en-US" w:eastAsia="zh-CN"/>
              </w:rPr>
              <w:t>.6-2</w:t>
            </w:r>
            <w:r>
              <w:rPr>
                <w:rFonts w:hint="eastAsia" w:ascii="Times New Roman" w:hAnsi="Times New Roman" w:eastAsia="宋体" w:cs="Times New Roman"/>
                <w:b/>
                <w:color w:val="auto"/>
                <w:sz w:val="21"/>
                <w:szCs w:val="21"/>
                <w:highlight w:val="none"/>
                <w:lang w:eastAsia="zh-CN"/>
              </w:rPr>
              <w:t xml:space="preserve"> </w:t>
            </w:r>
            <w:r>
              <w:rPr>
                <w:rFonts w:hint="eastAsia" w:ascii="Times New Roman" w:hAnsi="Times New Roman" w:eastAsia="宋体" w:cs="Times New Roman"/>
                <w:b/>
                <w:color w:val="000000" w:themeColor="text1"/>
                <w:sz w:val="21"/>
                <w:szCs w:val="21"/>
                <w:highlight w:val="none"/>
                <w:lang w:eastAsia="zh-CN"/>
              </w:rPr>
              <w:t xml:space="preserve">  工业企业噪声源强调查清单（室内声源）</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76"/>
              <w:gridCol w:w="1016"/>
              <w:gridCol w:w="1296"/>
              <w:gridCol w:w="476"/>
              <w:gridCol w:w="980"/>
              <w:gridCol w:w="866"/>
              <w:gridCol w:w="797"/>
              <w:gridCol w:w="711"/>
              <w:gridCol w:w="711"/>
              <w:gridCol w:w="326"/>
              <w:gridCol w:w="1057"/>
              <w:gridCol w:w="1068"/>
              <w:gridCol w:w="736"/>
              <w:gridCol w:w="1114"/>
              <w:gridCol w:w="828"/>
              <w:gridCol w:w="798"/>
            </w:tblGrid>
            <w:tr w14:paraId="294B1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0" w:type="auto"/>
                  <w:vMerge w:val="restart"/>
                  <w:shd w:val="clear" w:color="auto" w:fill="auto"/>
                  <w:vAlign w:val="center"/>
                </w:tcPr>
                <w:p w14:paraId="391CFA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序号</w:t>
                  </w:r>
                </w:p>
              </w:tc>
              <w:tc>
                <w:tcPr>
                  <w:tcW w:w="0" w:type="auto"/>
                  <w:vMerge w:val="restart"/>
                  <w:shd w:val="clear" w:color="auto" w:fill="auto"/>
                  <w:vAlign w:val="center"/>
                </w:tcPr>
                <w:p w14:paraId="6152A82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建筑物名称</w:t>
                  </w:r>
                </w:p>
              </w:tc>
              <w:tc>
                <w:tcPr>
                  <w:tcW w:w="0" w:type="auto"/>
                  <w:vMerge w:val="restart"/>
                  <w:shd w:val="clear" w:color="auto" w:fill="auto"/>
                  <w:vAlign w:val="center"/>
                </w:tcPr>
                <w:p w14:paraId="6C2521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声源名称</w:t>
                  </w:r>
                </w:p>
              </w:tc>
              <w:tc>
                <w:tcPr>
                  <w:tcW w:w="0" w:type="auto"/>
                  <w:vMerge w:val="restart"/>
                  <w:shd w:val="clear" w:color="auto" w:fill="auto"/>
                  <w:vAlign w:val="center"/>
                </w:tcPr>
                <w:p w14:paraId="0E8C569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型号</w:t>
                  </w:r>
                </w:p>
              </w:tc>
              <w:tc>
                <w:tcPr>
                  <w:tcW w:w="0" w:type="auto"/>
                  <w:gridSpan w:val="2"/>
                  <w:shd w:val="clear" w:color="auto" w:fill="auto"/>
                  <w:vAlign w:val="center"/>
                </w:tcPr>
                <w:p w14:paraId="39ADCD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声源源强</w:t>
                  </w:r>
                </w:p>
              </w:tc>
              <w:tc>
                <w:tcPr>
                  <w:tcW w:w="0" w:type="auto"/>
                  <w:vMerge w:val="restart"/>
                  <w:shd w:val="clear" w:color="auto" w:fill="auto"/>
                  <w:vAlign w:val="center"/>
                </w:tcPr>
                <w:p w14:paraId="23D392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声源控制措施</w:t>
                  </w:r>
                </w:p>
              </w:tc>
              <w:tc>
                <w:tcPr>
                  <w:tcW w:w="0" w:type="auto"/>
                  <w:gridSpan w:val="3"/>
                  <w:shd w:val="clear" w:color="auto" w:fill="auto"/>
                  <w:vAlign w:val="center"/>
                </w:tcPr>
                <w:p w14:paraId="3C423C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空间相对位置</w:t>
                  </w:r>
                  <w:r>
                    <w:rPr>
                      <w:rStyle w:val="48"/>
                      <w:rFonts w:hint="default" w:ascii="Times New Roman" w:hAnsi="Times New Roman" w:eastAsia="宋体" w:cs="Times New Roman"/>
                      <w:sz w:val="18"/>
                      <w:szCs w:val="18"/>
                      <w:lang w:val="en-US" w:eastAsia="zh-CN" w:bidi="ar"/>
                    </w:rPr>
                    <w:t>/m</w:t>
                  </w:r>
                </w:p>
              </w:tc>
              <w:tc>
                <w:tcPr>
                  <w:tcW w:w="0" w:type="auto"/>
                  <w:vMerge w:val="restart"/>
                  <w:shd w:val="clear" w:color="auto" w:fill="auto"/>
                  <w:vAlign w:val="center"/>
                </w:tcPr>
                <w:p w14:paraId="60971C1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距室内边界距离</w:t>
                  </w:r>
                  <w:r>
                    <w:rPr>
                      <w:rStyle w:val="48"/>
                      <w:rFonts w:hint="default" w:ascii="Times New Roman" w:hAnsi="Times New Roman" w:eastAsia="宋体" w:cs="Times New Roman"/>
                      <w:sz w:val="18"/>
                      <w:szCs w:val="18"/>
                      <w:lang w:val="en-US" w:eastAsia="zh-CN" w:bidi="ar"/>
                    </w:rPr>
                    <w:t>/m</w:t>
                  </w:r>
                </w:p>
              </w:tc>
              <w:tc>
                <w:tcPr>
                  <w:tcW w:w="0" w:type="auto"/>
                  <w:vMerge w:val="restart"/>
                  <w:shd w:val="clear" w:color="auto" w:fill="auto"/>
                  <w:vAlign w:val="center"/>
                </w:tcPr>
                <w:p w14:paraId="61515BD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室内边界声级</w:t>
                  </w:r>
                  <w:r>
                    <w:rPr>
                      <w:rStyle w:val="48"/>
                      <w:rFonts w:hint="default" w:ascii="Times New Roman" w:hAnsi="Times New Roman" w:eastAsia="宋体" w:cs="Times New Roman"/>
                      <w:sz w:val="18"/>
                      <w:szCs w:val="18"/>
                      <w:lang w:val="en-US" w:eastAsia="zh-CN" w:bidi="ar"/>
                    </w:rPr>
                    <w:t>/dB(A)</w:t>
                  </w:r>
                </w:p>
              </w:tc>
              <w:tc>
                <w:tcPr>
                  <w:tcW w:w="0" w:type="auto"/>
                  <w:vMerge w:val="restart"/>
                  <w:shd w:val="clear" w:color="auto" w:fill="auto"/>
                  <w:vAlign w:val="center"/>
                </w:tcPr>
                <w:p w14:paraId="1F76C3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运行时段</w:t>
                  </w:r>
                </w:p>
              </w:tc>
              <w:tc>
                <w:tcPr>
                  <w:tcW w:w="0" w:type="auto"/>
                  <w:vMerge w:val="restart"/>
                  <w:shd w:val="clear" w:color="auto" w:fill="auto"/>
                  <w:vAlign w:val="center"/>
                </w:tcPr>
                <w:p w14:paraId="7C729FE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建筑物插入损失</w:t>
                  </w:r>
                  <w:r>
                    <w:rPr>
                      <w:rStyle w:val="48"/>
                      <w:rFonts w:hint="default" w:ascii="Times New Roman" w:hAnsi="Times New Roman" w:eastAsia="宋体" w:cs="Times New Roman"/>
                      <w:sz w:val="18"/>
                      <w:szCs w:val="18"/>
                      <w:lang w:val="en-US" w:eastAsia="zh-CN" w:bidi="ar"/>
                    </w:rPr>
                    <w:t xml:space="preserve"> / dB(A)</w:t>
                  </w:r>
                </w:p>
              </w:tc>
              <w:tc>
                <w:tcPr>
                  <w:tcW w:w="0" w:type="auto"/>
                  <w:gridSpan w:val="2"/>
                  <w:shd w:val="clear" w:color="auto" w:fill="auto"/>
                  <w:vAlign w:val="center"/>
                </w:tcPr>
                <w:p w14:paraId="1E2C0FC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建筑物外噪声</w:t>
                  </w:r>
                </w:p>
              </w:tc>
            </w:tr>
            <w:tr w14:paraId="45406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shd w:val="clear" w:color="auto" w:fill="auto"/>
                  <w:vAlign w:val="center"/>
                </w:tcPr>
                <w:p w14:paraId="48580CB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vMerge w:val="continue"/>
                  <w:shd w:val="clear" w:color="auto" w:fill="auto"/>
                  <w:vAlign w:val="center"/>
                </w:tcPr>
                <w:p w14:paraId="7B6BF11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vMerge w:val="continue"/>
                  <w:shd w:val="clear" w:color="auto" w:fill="auto"/>
                  <w:vAlign w:val="center"/>
                </w:tcPr>
                <w:p w14:paraId="0053F8F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vMerge w:val="continue"/>
                  <w:shd w:val="clear" w:color="auto" w:fill="auto"/>
                  <w:vAlign w:val="center"/>
                </w:tcPr>
                <w:p w14:paraId="606CB55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FFFFFF"/>
                  <w:vAlign w:val="center"/>
                </w:tcPr>
                <w:p w14:paraId="2B34B52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声压级/距声源距离</w:t>
                  </w:r>
                </w:p>
              </w:tc>
              <w:tc>
                <w:tcPr>
                  <w:tcW w:w="0" w:type="auto"/>
                  <w:shd w:val="clear" w:color="auto" w:fill="FFFFFF"/>
                  <w:vAlign w:val="center"/>
                </w:tcPr>
                <w:p w14:paraId="7CC08D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声功率级</w:t>
                  </w:r>
                  <w:r>
                    <w:rPr>
                      <w:rStyle w:val="48"/>
                      <w:rFonts w:hint="default" w:ascii="Times New Roman" w:hAnsi="Times New Roman" w:eastAsia="宋体" w:cs="Times New Roman"/>
                      <w:sz w:val="18"/>
                      <w:szCs w:val="18"/>
                      <w:lang w:val="en-US" w:eastAsia="zh-CN" w:bidi="ar"/>
                    </w:rPr>
                    <w:t>/dB(A)</w:t>
                  </w:r>
                </w:p>
              </w:tc>
              <w:tc>
                <w:tcPr>
                  <w:tcW w:w="0" w:type="auto"/>
                  <w:vMerge w:val="continue"/>
                  <w:shd w:val="clear" w:color="auto" w:fill="FFFFFF"/>
                  <w:vAlign w:val="center"/>
                </w:tcPr>
                <w:p w14:paraId="5D82015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FFFFFF"/>
                  <w:vAlign w:val="center"/>
                </w:tcPr>
                <w:p w14:paraId="50AC67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X</w:t>
                  </w:r>
                </w:p>
              </w:tc>
              <w:tc>
                <w:tcPr>
                  <w:tcW w:w="0" w:type="auto"/>
                  <w:shd w:val="clear" w:color="auto" w:fill="FFFFFF"/>
                  <w:vAlign w:val="center"/>
                </w:tcPr>
                <w:p w14:paraId="5753BD3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Y</w:t>
                  </w:r>
                </w:p>
              </w:tc>
              <w:tc>
                <w:tcPr>
                  <w:tcW w:w="0" w:type="auto"/>
                  <w:shd w:val="clear" w:color="auto" w:fill="FFFFFF"/>
                  <w:vAlign w:val="center"/>
                </w:tcPr>
                <w:p w14:paraId="259F9FC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Z</w:t>
                  </w:r>
                </w:p>
              </w:tc>
              <w:tc>
                <w:tcPr>
                  <w:tcW w:w="0" w:type="auto"/>
                  <w:vMerge w:val="continue"/>
                  <w:shd w:val="clear" w:color="auto" w:fill="auto"/>
                  <w:vAlign w:val="center"/>
                </w:tcPr>
                <w:p w14:paraId="0033486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vMerge w:val="continue"/>
                  <w:shd w:val="clear" w:color="auto" w:fill="auto"/>
                  <w:vAlign w:val="center"/>
                </w:tcPr>
                <w:p w14:paraId="1BA58DA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vMerge w:val="continue"/>
                  <w:shd w:val="clear" w:color="auto" w:fill="auto"/>
                  <w:vAlign w:val="center"/>
                </w:tcPr>
                <w:p w14:paraId="7D03393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vMerge w:val="continue"/>
                  <w:shd w:val="clear" w:color="auto" w:fill="auto"/>
                  <w:vAlign w:val="center"/>
                </w:tcPr>
                <w:p w14:paraId="4848962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FFFFFF"/>
                  <w:vAlign w:val="center"/>
                </w:tcPr>
                <w:p w14:paraId="0ACF59F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声压级</w:t>
                  </w:r>
                  <w:r>
                    <w:rPr>
                      <w:rStyle w:val="48"/>
                      <w:rFonts w:hint="default" w:ascii="Times New Roman" w:hAnsi="Times New Roman" w:eastAsia="宋体" w:cs="Times New Roman"/>
                      <w:sz w:val="18"/>
                      <w:szCs w:val="18"/>
                      <w:lang w:val="en-US" w:eastAsia="zh-CN" w:bidi="ar"/>
                    </w:rPr>
                    <w:t>/dB(A)</w:t>
                  </w:r>
                </w:p>
              </w:tc>
              <w:tc>
                <w:tcPr>
                  <w:tcW w:w="0" w:type="auto"/>
                  <w:shd w:val="clear" w:color="auto" w:fill="FFFFFF"/>
                  <w:vAlign w:val="center"/>
                </w:tcPr>
                <w:p w14:paraId="025220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建筑物外距离</w:t>
                  </w:r>
                </w:p>
              </w:tc>
            </w:tr>
            <w:tr w14:paraId="12D9C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C2586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F1E623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6F8846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4DCD652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A97EAD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18BCB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7660905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E08E83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064D18E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6A213C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E2FFF9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5.55</w:t>
                  </w:r>
                </w:p>
              </w:tc>
              <w:tc>
                <w:tcPr>
                  <w:tcW w:w="0" w:type="auto"/>
                  <w:shd w:val="clear" w:color="auto" w:fill="auto"/>
                  <w:noWrap/>
                  <w:vAlign w:val="center"/>
                </w:tcPr>
                <w:p w14:paraId="477F87A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67.35</w:t>
                  </w:r>
                </w:p>
              </w:tc>
              <w:tc>
                <w:tcPr>
                  <w:tcW w:w="0" w:type="auto"/>
                  <w:shd w:val="clear" w:color="auto" w:fill="auto"/>
                  <w:noWrap/>
                  <w:vAlign w:val="center"/>
                </w:tcPr>
                <w:p w14:paraId="372BF3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5511F02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4EAA3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41.35</w:t>
                  </w:r>
                </w:p>
              </w:tc>
              <w:tc>
                <w:tcPr>
                  <w:tcW w:w="0" w:type="auto"/>
                  <w:shd w:val="clear" w:color="auto" w:fill="auto"/>
                  <w:noWrap/>
                  <w:vAlign w:val="center"/>
                </w:tcPr>
                <w:p w14:paraId="2FA25E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40EF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69DBAE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0" w:type="auto"/>
                  <w:shd w:val="clear" w:color="auto" w:fill="auto"/>
                  <w:noWrap/>
                  <w:vAlign w:val="center"/>
                </w:tcPr>
                <w:p w14:paraId="7B2379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84597F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23A037E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0CE373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C89108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065F583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476A11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3DD9AE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4DD77DA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3DB1DD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3.13</w:t>
                  </w:r>
                </w:p>
              </w:tc>
              <w:tc>
                <w:tcPr>
                  <w:tcW w:w="0" w:type="auto"/>
                  <w:shd w:val="clear" w:color="auto" w:fill="auto"/>
                  <w:noWrap/>
                  <w:vAlign w:val="center"/>
                </w:tcPr>
                <w:p w14:paraId="2235BAD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67.4</w:t>
                  </w:r>
                </w:p>
              </w:tc>
              <w:tc>
                <w:tcPr>
                  <w:tcW w:w="0" w:type="auto"/>
                  <w:shd w:val="clear" w:color="auto" w:fill="auto"/>
                  <w:noWrap/>
                  <w:vAlign w:val="center"/>
                </w:tcPr>
                <w:p w14:paraId="33DC2B2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6B9B20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8CE09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41.4</w:t>
                  </w:r>
                </w:p>
              </w:tc>
              <w:tc>
                <w:tcPr>
                  <w:tcW w:w="0" w:type="auto"/>
                  <w:shd w:val="clear" w:color="auto" w:fill="auto"/>
                  <w:noWrap/>
                  <w:vAlign w:val="center"/>
                </w:tcPr>
                <w:p w14:paraId="4AC630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51F4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6588B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w:t>
                  </w:r>
                </w:p>
              </w:tc>
              <w:tc>
                <w:tcPr>
                  <w:tcW w:w="0" w:type="auto"/>
                  <w:shd w:val="clear" w:color="auto" w:fill="auto"/>
                  <w:noWrap/>
                  <w:vAlign w:val="center"/>
                </w:tcPr>
                <w:p w14:paraId="12333C2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06C7762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355841E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51859F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19EFF4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066B133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10017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2650250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2EC35EF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1FF417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w:t>
                  </w:r>
                </w:p>
              </w:tc>
              <w:tc>
                <w:tcPr>
                  <w:tcW w:w="0" w:type="auto"/>
                  <w:shd w:val="clear" w:color="auto" w:fill="auto"/>
                  <w:noWrap/>
                  <w:vAlign w:val="center"/>
                </w:tcPr>
                <w:p w14:paraId="0934B76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67.83</w:t>
                  </w:r>
                </w:p>
              </w:tc>
              <w:tc>
                <w:tcPr>
                  <w:tcW w:w="0" w:type="auto"/>
                  <w:shd w:val="clear" w:color="auto" w:fill="auto"/>
                  <w:noWrap/>
                  <w:vAlign w:val="center"/>
                </w:tcPr>
                <w:p w14:paraId="540246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33B6DF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4EC86C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41.83</w:t>
                  </w:r>
                </w:p>
              </w:tc>
              <w:tc>
                <w:tcPr>
                  <w:tcW w:w="0" w:type="auto"/>
                  <w:shd w:val="clear" w:color="auto" w:fill="auto"/>
                  <w:noWrap/>
                  <w:vAlign w:val="center"/>
                </w:tcPr>
                <w:p w14:paraId="060559D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1528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78E7D6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w:t>
                  </w:r>
                </w:p>
              </w:tc>
              <w:tc>
                <w:tcPr>
                  <w:tcW w:w="0" w:type="auto"/>
                  <w:shd w:val="clear" w:color="auto" w:fill="auto"/>
                  <w:noWrap/>
                  <w:vAlign w:val="center"/>
                </w:tcPr>
                <w:p w14:paraId="069FA9E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0FE484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3D8D454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5597BA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7F41EE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C10C5A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DC0D51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28697B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6D1805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0B2366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w:t>
                  </w:r>
                </w:p>
              </w:tc>
              <w:tc>
                <w:tcPr>
                  <w:tcW w:w="0" w:type="auto"/>
                  <w:shd w:val="clear" w:color="auto" w:fill="auto"/>
                  <w:noWrap/>
                  <w:vAlign w:val="center"/>
                </w:tcPr>
                <w:p w14:paraId="7C218B8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67.35</w:t>
                  </w:r>
                </w:p>
              </w:tc>
              <w:tc>
                <w:tcPr>
                  <w:tcW w:w="0" w:type="auto"/>
                  <w:shd w:val="clear" w:color="auto" w:fill="auto"/>
                  <w:noWrap/>
                  <w:vAlign w:val="center"/>
                </w:tcPr>
                <w:p w14:paraId="40E79B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757721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2A0EEC4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41.35</w:t>
                  </w:r>
                </w:p>
              </w:tc>
              <w:tc>
                <w:tcPr>
                  <w:tcW w:w="0" w:type="auto"/>
                  <w:shd w:val="clear" w:color="auto" w:fill="auto"/>
                  <w:noWrap/>
                  <w:vAlign w:val="center"/>
                </w:tcPr>
                <w:p w14:paraId="58F639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8130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8D457C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w:t>
                  </w:r>
                </w:p>
              </w:tc>
              <w:tc>
                <w:tcPr>
                  <w:tcW w:w="0" w:type="auto"/>
                  <w:shd w:val="clear" w:color="auto" w:fill="auto"/>
                  <w:noWrap/>
                  <w:vAlign w:val="center"/>
                </w:tcPr>
                <w:p w14:paraId="79BDF55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98BC59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78EB665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88540D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496E4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A2AAFE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C135A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0B27E2D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42408DE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190104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w:t>
                  </w:r>
                </w:p>
              </w:tc>
              <w:tc>
                <w:tcPr>
                  <w:tcW w:w="0" w:type="auto"/>
                  <w:shd w:val="clear" w:color="auto" w:fill="auto"/>
                  <w:noWrap/>
                  <w:vAlign w:val="center"/>
                </w:tcPr>
                <w:p w14:paraId="0A33B3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67.35</w:t>
                  </w:r>
                </w:p>
              </w:tc>
              <w:tc>
                <w:tcPr>
                  <w:tcW w:w="0" w:type="auto"/>
                  <w:shd w:val="clear" w:color="auto" w:fill="auto"/>
                  <w:noWrap/>
                  <w:vAlign w:val="center"/>
                </w:tcPr>
                <w:p w14:paraId="252F807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80E0A4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1C1C65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41.35</w:t>
                  </w:r>
                </w:p>
              </w:tc>
              <w:tc>
                <w:tcPr>
                  <w:tcW w:w="0" w:type="auto"/>
                  <w:shd w:val="clear" w:color="auto" w:fill="auto"/>
                  <w:noWrap/>
                  <w:vAlign w:val="center"/>
                </w:tcPr>
                <w:p w14:paraId="372584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8D20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AB4EA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w:t>
                  </w:r>
                </w:p>
              </w:tc>
              <w:tc>
                <w:tcPr>
                  <w:tcW w:w="0" w:type="auto"/>
                  <w:shd w:val="clear" w:color="auto" w:fill="auto"/>
                  <w:noWrap/>
                  <w:vAlign w:val="center"/>
                </w:tcPr>
                <w:p w14:paraId="23B2E5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537C665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2E54025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E0F93A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E5012C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523012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E344C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494FAE6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14264AE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98C3D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3.29</w:t>
                  </w:r>
                </w:p>
              </w:tc>
              <w:tc>
                <w:tcPr>
                  <w:tcW w:w="0" w:type="auto"/>
                  <w:shd w:val="clear" w:color="auto" w:fill="auto"/>
                  <w:noWrap/>
                  <w:vAlign w:val="center"/>
                </w:tcPr>
                <w:p w14:paraId="0D624C6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67.39</w:t>
                  </w:r>
                </w:p>
              </w:tc>
              <w:tc>
                <w:tcPr>
                  <w:tcW w:w="0" w:type="auto"/>
                  <w:shd w:val="clear" w:color="auto" w:fill="auto"/>
                  <w:noWrap/>
                  <w:vAlign w:val="center"/>
                </w:tcPr>
                <w:p w14:paraId="3DD944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C46908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5A0469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41.39</w:t>
                  </w:r>
                </w:p>
              </w:tc>
              <w:tc>
                <w:tcPr>
                  <w:tcW w:w="0" w:type="auto"/>
                  <w:shd w:val="clear" w:color="auto" w:fill="auto"/>
                  <w:noWrap/>
                  <w:vAlign w:val="center"/>
                </w:tcPr>
                <w:p w14:paraId="310EDEE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C78F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3700C1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w:t>
                  </w:r>
                </w:p>
              </w:tc>
              <w:tc>
                <w:tcPr>
                  <w:tcW w:w="0" w:type="auto"/>
                  <w:shd w:val="clear" w:color="auto" w:fill="auto"/>
                  <w:noWrap/>
                  <w:vAlign w:val="center"/>
                </w:tcPr>
                <w:p w14:paraId="10FF5FA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737C016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107F5FF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E19BEE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AD7136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33C0BEC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EE7B50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31E957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207F8C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0905A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5.55</w:t>
                  </w:r>
                </w:p>
              </w:tc>
              <w:tc>
                <w:tcPr>
                  <w:tcW w:w="0" w:type="auto"/>
                  <w:shd w:val="clear" w:color="auto" w:fill="auto"/>
                  <w:noWrap/>
                  <w:vAlign w:val="center"/>
                </w:tcPr>
                <w:p w14:paraId="38DF7B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67.35</w:t>
                  </w:r>
                </w:p>
              </w:tc>
              <w:tc>
                <w:tcPr>
                  <w:tcW w:w="0" w:type="auto"/>
                  <w:shd w:val="clear" w:color="auto" w:fill="auto"/>
                  <w:noWrap/>
                  <w:vAlign w:val="center"/>
                </w:tcPr>
                <w:p w14:paraId="08DF39A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694A733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79063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41.35</w:t>
                  </w:r>
                </w:p>
              </w:tc>
              <w:tc>
                <w:tcPr>
                  <w:tcW w:w="0" w:type="auto"/>
                  <w:shd w:val="clear" w:color="auto" w:fill="auto"/>
                  <w:noWrap/>
                  <w:vAlign w:val="center"/>
                </w:tcPr>
                <w:p w14:paraId="6844C25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39A7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A3E69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w:t>
                  </w:r>
                </w:p>
              </w:tc>
              <w:tc>
                <w:tcPr>
                  <w:tcW w:w="0" w:type="auto"/>
                  <w:shd w:val="clear" w:color="auto" w:fill="auto"/>
                  <w:noWrap/>
                  <w:vAlign w:val="center"/>
                </w:tcPr>
                <w:p w14:paraId="4DFBCD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6416539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2BD208F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D7CB7B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0EE23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603C5D2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390822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365B6E9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62C8D1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2F64F5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3.13</w:t>
                  </w:r>
                </w:p>
              </w:tc>
              <w:tc>
                <w:tcPr>
                  <w:tcW w:w="0" w:type="auto"/>
                  <w:shd w:val="clear" w:color="auto" w:fill="auto"/>
                  <w:noWrap/>
                  <w:vAlign w:val="center"/>
                </w:tcPr>
                <w:p w14:paraId="1C6E79A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67.4</w:t>
                  </w:r>
                </w:p>
              </w:tc>
              <w:tc>
                <w:tcPr>
                  <w:tcW w:w="0" w:type="auto"/>
                  <w:shd w:val="clear" w:color="auto" w:fill="auto"/>
                  <w:noWrap/>
                  <w:vAlign w:val="center"/>
                </w:tcPr>
                <w:p w14:paraId="4E10D6D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3A12DB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E708B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41.4</w:t>
                  </w:r>
                </w:p>
              </w:tc>
              <w:tc>
                <w:tcPr>
                  <w:tcW w:w="0" w:type="auto"/>
                  <w:shd w:val="clear" w:color="auto" w:fill="auto"/>
                  <w:noWrap/>
                  <w:vAlign w:val="center"/>
                </w:tcPr>
                <w:p w14:paraId="738D458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6954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368CA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9</w:t>
                  </w:r>
                </w:p>
              </w:tc>
              <w:tc>
                <w:tcPr>
                  <w:tcW w:w="0" w:type="auto"/>
                  <w:shd w:val="clear" w:color="auto" w:fill="auto"/>
                  <w:noWrap/>
                  <w:vAlign w:val="center"/>
                </w:tcPr>
                <w:p w14:paraId="1646BF6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A897AB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334221E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F3B2F6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41DA0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63C61EE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50AE9C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6B0A7E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42E4CB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C5559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w:t>
                  </w:r>
                </w:p>
              </w:tc>
              <w:tc>
                <w:tcPr>
                  <w:tcW w:w="0" w:type="auto"/>
                  <w:shd w:val="clear" w:color="auto" w:fill="auto"/>
                  <w:noWrap/>
                  <w:vAlign w:val="center"/>
                </w:tcPr>
                <w:p w14:paraId="192B06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67.83</w:t>
                  </w:r>
                </w:p>
              </w:tc>
              <w:tc>
                <w:tcPr>
                  <w:tcW w:w="0" w:type="auto"/>
                  <w:shd w:val="clear" w:color="auto" w:fill="auto"/>
                  <w:noWrap/>
                  <w:vAlign w:val="center"/>
                </w:tcPr>
                <w:p w14:paraId="755A0E5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BB9A7F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0B291C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41.83</w:t>
                  </w:r>
                </w:p>
              </w:tc>
              <w:tc>
                <w:tcPr>
                  <w:tcW w:w="0" w:type="auto"/>
                  <w:shd w:val="clear" w:color="auto" w:fill="auto"/>
                  <w:noWrap/>
                  <w:vAlign w:val="center"/>
                </w:tcPr>
                <w:p w14:paraId="069FB8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4D3C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22F318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0" w:type="auto"/>
                  <w:shd w:val="clear" w:color="auto" w:fill="auto"/>
                  <w:noWrap/>
                  <w:vAlign w:val="center"/>
                </w:tcPr>
                <w:p w14:paraId="3F0C64E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473F9C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7AC985A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8A0385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EB0F62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577B212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198074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46EEFE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583940D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38E4F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w:t>
                  </w:r>
                </w:p>
              </w:tc>
              <w:tc>
                <w:tcPr>
                  <w:tcW w:w="0" w:type="auto"/>
                  <w:shd w:val="clear" w:color="auto" w:fill="auto"/>
                  <w:noWrap/>
                  <w:vAlign w:val="center"/>
                </w:tcPr>
                <w:p w14:paraId="306628C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67.35</w:t>
                  </w:r>
                </w:p>
              </w:tc>
              <w:tc>
                <w:tcPr>
                  <w:tcW w:w="0" w:type="auto"/>
                  <w:shd w:val="clear" w:color="auto" w:fill="auto"/>
                  <w:noWrap/>
                  <w:vAlign w:val="center"/>
                </w:tcPr>
                <w:p w14:paraId="30D31A0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79B7FCE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FB6909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41.35</w:t>
                  </w:r>
                </w:p>
              </w:tc>
              <w:tc>
                <w:tcPr>
                  <w:tcW w:w="0" w:type="auto"/>
                  <w:shd w:val="clear" w:color="auto" w:fill="auto"/>
                  <w:noWrap/>
                  <w:vAlign w:val="center"/>
                </w:tcPr>
                <w:p w14:paraId="5205022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CAB5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F151A5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w:t>
                  </w:r>
                </w:p>
              </w:tc>
              <w:tc>
                <w:tcPr>
                  <w:tcW w:w="0" w:type="auto"/>
                  <w:shd w:val="clear" w:color="auto" w:fill="auto"/>
                  <w:noWrap/>
                  <w:vAlign w:val="center"/>
                </w:tcPr>
                <w:p w14:paraId="6C7533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28E3811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65E4068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5F8CAE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DFFF69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7AC4722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57B03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6E4C8F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038B141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F8876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w:t>
                  </w:r>
                </w:p>
              </w:tc>
              <w:tc>
                <w:tcPr>
                  <w:tcW w:w="0" w:type="auto"/>
                  <w:shd w:val="clear" w:color="auto" w:fill="auto"/>
                  <w:noWrap/>
                  <w:vAlign w:val="center"/>
                </w:tcPr>
                <w:p w14:paraId="6404B7C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67.35</w:t>
                  </w:r>
                </w:p>
              </w:tc>
              <w:tc>
                <w:tcPr>
                  <w:tcW w:w="0" w:type="auto"/>
                  <w:shd w:val="clear" w:color="auto" w:fill="auto"/>
                  <w:noWrap/>
                  <w:vAlign w:val="center"/>
                </w:tcPr>
                <w:p w14:paraId="11A6839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0B98E68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EC1989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41.35</w:t>
                  </w:r>
                </w:p>
              </w:tc>
              <w:tc>
                <w:tcPr>
                  <w:tcW w:w="0" w:type="auto"/>
                  <w:shd w:val="clear" w:color="auto" w:fill="auto"/>
                  <w:noWrap/>
                  <w:vAlign w:val="center"/>
                </w:tcPr>
                <w:p w14:paraId="42BA68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F5D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C4D44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w:t>
                  </w:r>
                </w:p>
              </w:tc>
              <w:tc>
                <w:tcPr>
                  <w:tcW w:w="0" w:type="auto"/>
                  <w:shd w:val="clear" w:color="auto" w:fill="auto"/>
                  <w:noWrap/>
                  <w:vAlign w:val="center"/>
                </w:tcPr>
                <w:p w14:paraId="408CFB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5F3D3D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原料筛分机</w:t>
                  </w:r>
                </w:p>
              </w:tc>
              <w:tc>
                <w:tcPr>
                  <w:tcW w:w="0" w:type="auto"/>
                  <w:shd w:val="clear" w:color="auto" w:fill="auto"/>
                  <w:noWrap/>
                  <w:vAlign w:val="center"/>
                </w:tcPr>
                <w:p w14:paraId="6F95073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98AC4E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92850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CDB1B3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40DFFD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293.4</w:t>
                  </w:r>
                </w:p>
              </w:tc>
              <w:tc>
                <w:tcPr>
                  <w:tcW w:w="0" w:type="auto"/>
                  <w:shd w:val="clear" w:color="auto" w:fill="auto"/>
                  <w:noWrap/>
                  <w:vAlign w:val="center"/>
                </w:tcPr>
                <w:p w14:paraId="0D45DE2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112.63</w:t>
                  </w:r>
                </w:p>
              </w:tc>
              <w:tc>
                <w:tcPr>
                  <w:tcW w:w="0" w:type="auto"/>
                  <w:shd w:val="clear" w:color="auto" w:fill="auto"/>
                  <w:noWrap/>
                  <w:vAlign w:val="center"/>
                </w:tcPr>
                <w:p w14:paraId="7D38D17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5A9C8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3.29</w:t>
                  </w:r>
                </w:p>
              </w:tc>
              <w:tc>
                <w:tcPr>
                  <w:tcW w:w="0" w:type="auto"/>
                  <w:shd w:val="clear" w:color="auto" w:fill="auto"/>
                  <w:noWrap/>
                  <w:vAlign w:val="center"/>
                </w:tcPr>
                <w:p w14:paraId="66195E0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67.39</w:t>
                  </w:r>
                </w:p>
              </w:tc>
              <w:tc>
                <w:tcPr>
                  <w:tcW w:w="0" w:type="auto"/>
                  <w:shd w:val="clear" w:color="auto" w:fill="auto"/>
                  <w:noWrap/>
                  <w:vAlign w:val="center"/>
                </w:tcPr>
                <w:p w14:paraId="0C2C36F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5A183ED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3D45D4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41.39</w:t>
                  </w:r>
                </w:p>
              </w:tc>
              <w:tc>
                <w:tcPr>
                  <w:tcW w:w="0" w:type="auto"/>
                  <w:shd w:val="clear" w:color="auto" w:fill="auto"/>
                  <w:noWrap/>
                  <w:vAlign w:val="center"/>
                </w:tcPr>
                <w:p w14:paraId="3C65EAE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48FB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34D819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w:t>
                  </w:r>
                </w:p>
              </w:tc>
              <w:tc>
                <w:tcPr>
                  <w:tcW w:w="0" w:type="auto"/>
                  <w:shd w:val="clear" w:color="auto" w:fill="auto"/>
                  <w:noWrap/>
                  <w:vAlign w:val="center"/>
                </w:tcPr>
                <w:p w14:paraId="1EA1FE9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01B953E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134D914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18214F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19F5A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329FF5D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233098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7FC0676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34474A7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F33C9B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w:t>
                  </w:r>
                </w:p>
              </w:tc>
              <w:tc>
                <w:tcPr>
                  <w:tcW w:w="0" w:type="auto"/>
                  <w:shd w:val="clear" w:color="auto" w:fill="auto"/>
                  <w:noWrap/>
                  <w:vAlign w:val="center"/>
                </w:tcPr>
                <w:p w14:paraId="1723B80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72.6</w:t>
                  </w:r>
                </w:p>
              </w:tc>
              <w:tc>
                <w:tcPr>
                  <w:tcW w:w="0" w:type="auto"/>
                  <w:shd w:val="clear" w:color="auto" w:fill="auto"/>
                  <w:noWrap/>
                  <w:vAlign w:val="center"/>
                </w:tcPr>
                <w:p w14:paraId="513D9C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288E46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9745C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46.6</w:t>
                  </w:r>
                </w:p>
              </w:tc>
              <w:tc>
                <w:tcPr>
                  <w:tcW w:w="0" w:type="auto"/>
                  <w:shd w:val="clear" w:color="auto" w:fill="auto"/>
                  <w:noWrap/>
                  <w:vAlign w:val="center"/>
                </w:tcPr>
                <w:p w14:paraId="46B5338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EAB5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FE9433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w:t>
                  </w:r>
                </w:p>
              </w:tc>
              <w:tc>
                <w:tcPr>
                  <w:tcW w:w="0" w:type="auto"/>
                  <w:shd w:val="clear" w:color="auto" w:fill="auto"/>
                  <w:noWrap/>
                  <w:vAlign w:val="center"/>
                </w:tcPr>
                <w:p w14:paraId="104AF20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DAEB0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3889C6E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9D0DD5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C8E042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117F19F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07235F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3F5D0F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54B710A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ED630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3.13</w:t>
                  </w:r>
                </w:p>
              </w:tc>
              <w:tc>
                <w:tcPr>
                  <w:tcW w:w="0" w:type="auto"/>
                  <w:shd w:val="clear" w:color="auto" w:fill="auto"/>
                  <w:noWrap/>
                  <w:vAlign w:val="center"/>
                </w:tcPr>
                <w:p w14:paraId="713FB4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72.4</w:t>
                  </w:r>
                </w:p>
              </w:tc>
              <w:tc>
                <w:tcPr>
                  <w:tcW w:w="0" w:type="auto"/>
                  <w:shd w:val="clear" w:color="auto" w:fill="auto"/>
                  <w:noWrap/>
                  <w:vAlign w:val="center"/>
                </w:tcPr>
                <w:p w14:paraId="5CD7F5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C07979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B4A34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46.4</w:t>
                  </w:r>
                </w:p>
              </w:tc>
              <w:tc>
                <w:tcPr>
                  <w:tcW w:w="0" w:type="auto"/>
                  <w:shd w:val="clear" w:color="auto" w:fill="auto"/>
                  <w:noWrap/>
                  <w:vAlign w:val="center"/>
                </w:tcPr>
                <w:p w14:paraId="76FA35E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32F4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E9CD90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w:t>
                  </w:r>
                </w:p>
              </w:tc>
              <w:tc>
                <w:tcPr>
                  <w:tcW w:w="0" w:type="auto"/>
                  <w:shd w:val="clear" w:color="auto" w:fill="auto"/>
                  <w:noWrap/>
                  <w:vAlign w:val="center"/>
                </w:tcPr>
                <w:p w14:paraId="2C34AEE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A0E186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5B550B6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8BD812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D42BC5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1FD1C01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F8801B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66907DF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4E41C03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2B7322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5.14</w:t>
                  </w:r>
                </w:p>
              </w:tc>
              <w:tc>
                <w:tcPr>
                  <w:tcW w:w="0" w:type="auto"/>
                  <w:shd w:val="clear" w:color="auto" w:fill="auto"/>
                  <w:noWrap/>
                  <w:vAlign w:val="center"/>
                </w:tcPr>
                <w:p w14:paraId="34AB972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72.36</w:t>
                  </w:r>
                </w:p>
              </w:tc>
              <w:tc>
                <w:tcPr>
                  <w:tcW w:w="0" w:type="auto"/>
                  <w:shd w:val="clear" w:color="auto" w:fill="auto"/>
                  <w:noWrap/>
                  <w:vAlign w:val="center"/>
                </w:tcPr>
                <w:p w14:paraId="5253045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4E5AB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426A75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46.36</w:t>
                  </w:r>
                </w:p>
              </w:tc>
              <w:tc>
                <w:tcPr>
                  <w:tcW w:w="0" w:type="auto"/>
                  <w:shd w:val="clear" w:color="auto" w:fill="auto"/>
                  <w:noWrap/>
                  <w:vAlign w:val="center"/>
                </w:tcPr>
                <w:p w14:paraId="74681C2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5A4A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A3914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w:t>
                  </w:r>
                </w:p>
              </w:tc>
              <w:tc>
                <w:tcPr>
                  <w:tcW w:w="0" w:type="auto"/>
                  <w:shd w:val="clear" w:color="auto" w:fill="auto"/>
                  <w:noWrap/>
                  <w:vAlign w:val="center"/>
                </w:tcPr>
                <w:p w14:paraId="3DA8E5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06BBE11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359CB5F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61A8EA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594201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61E4926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E8B68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11C5AFF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423ED41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FA9929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6.95</w:t>
                  </w:r>
                </w:p>
              </w:tc>
              <w:tc>
                <w:tcPr>
                  <w:tcW w:w="0" w:type="auto"/>
                  <w:shd w:val="clear" w:color="auto" w:fill="auto"/>
                  <w:noWrap/>
                  <w:vAlign w:val="center"/>
                </w:tcPr>
                <w:p w14:paraId="7FA220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72.35</w:t>
                  </w:r>
                </w:p>
              </w:tc>
              <w:tc>
                <w:tcPr>
                  <w:tcW w:w="0" w:type="auto"/>
                  <w:shd w:val="clear" w:color="auto" w:fill="auto"/>
                  <w:noWrap/>
                  <w:vAlign w:val="center"/>
                </w:tcPr>
                <w:p w14:paraId="417753C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51D41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80CEE2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46.35</w:t>
                  </w:r>
                </w:p>
              </w:tc>
              <w:tc>
                <w:tcPr>
                  <w:tcW w:w="0" w:type="auto"/>
                  <w:shd w:val="clear" w:color="auto" w:fill="auto"/>
                  <w:noWrap/>
                  <w:vAlign w:val="center"/>
                </w:tcPr>
                <w:p w14:paraId="6FA8B9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2947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5DC414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w:t>
                  </w:r>
                </w:p>
              </w:tc>
              <w:tc>
                <w:tcPr>
                  <w:tcW w:w="0" w:type="auto"/>
                  <w:shd w:val="clear" w:color="auto" w:fill="auto"/>
                  <w:noWrap/>
                  <w:vAlign w:val="center"/>
                </w:tcPr>
                <w:p w14:paraId="0439C9A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4AC9C7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0BCECE9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20777C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17F8AC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E29749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7BAB82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6C1E91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640B548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B3C13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10.58</w:t>
                  </w:r>
                </w:p>
              </w:tc>
              <w:tc>
                <w:tcPr>
                  <w:tcW w:w="0" w:type="auto"/>
                  <w:shd w:val="clear" w:color="auto" w:fill="auto"/>
                  <w:noWrap/>
                  <w:vAlign w:val="center"/>
                </w:tcPr>
                <w:p w14:paraId="5019604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72.34</w:t>
                  </w:r>
                </w:p>
              </w:tc>
              <w:tc>
                <w:tcPr>
                  <w:tcW w:w="0" w:type="auto"/>
                  <w:shd w:val="clear" w:color="auto" w:fill="auto"/>
                  <w:noWrap/>
                  <w:vAlign w:val="center"/>
                </w:tcPr>
                <w:p w14:paraId="34D4810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4707F9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850F3A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46.34</w:t>
                  </w:r>
                </w:p>
              </w:tc>
              <w:tc>
                <w:tcPr>
                  <w:tcW w:w="0" w:type="auto"/>
                  <w:shd w:val="clear" w:color="auto" w:fill="auto"/>
                  <w:noWrap/>
                  <w:vAlign w:val="center"/>
                </w:tcPr>
                <w:p w14:paraId="7991019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22E0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5AA7CC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w:t>
                  </w:r>
                </w:p>
              </w:tc>
              <w:tc>
                <w:tcPr>
                  <w:tcW w:w="0" w:type="auto"/>
                  <w:shd w:val="clear" w:color="auto" w:fill="auto"/>
                  <w:noWrap/>
                  <w:vAlign w:val="center"/>
                </w:tcPr>
                <w:p w14:paraId="32595D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2DEE9A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3044FA5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157C80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202EB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3C9F13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95DB7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023027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1C799C8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B0A0C3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3.29</w:t>
                  </w:r>
                </w:p>
              </w:tc>
              <w:tc>
                <w:tcPr>
                  <w:tcW w:w="0" w:type="auto"/>
                  <w:shd w:val="clear" w:color="auto" w:fill="auto"/>
                  <w:noWrap/>
                  <w:vAlign w:val="center"/>
                </w:tcPr>
                <w:p w14:paraId="42D74B4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72.39</w:t>
                  </w:r>
                </w:p>
              </w:tc>
              <w:tc>
                <w:tcPr>
                  <w:tcW w:w="0" w:type="auto"/>
                  <w:shd w:val="clear" w:color="auto" w:fill="auto"/>
                  <w:noWrap/>
                  <w:vAlign w:val="center"/>
                </w:tcPr>
                <w:p w14:paraId="414DB66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BAAFAC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6D7E9A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46.39</w:t>
                  </w:r>
                </w:p>
              </w:tc>
              <w:tc>
                <w:tcPr>
                  <w:tcW w:w="0" w:type="auto"/>
                  <w:shd w:val="clear" w:color="auto" w:fill="auto"/>
                  <w:noWrap/>
                  <w:vAlign w:val="center"/>
                </w:tcPr>
                <w:p w14:paraId="6B939E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8021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F1F26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w:t>
                  </w:r>
                </w:p>
              </w:tc>
              <w:tc>
                <w:tcPr>
                  <w:tcW w:w="0" w:type="auto"/>
                  <w:shd w:val="clear" w:color="auto" w:fill="auto"/>
                  <w:noWrap/>
                  <w:vAlign w:val="center"/>
                </w:tcPr>
                <w:p w14:paraId="36153F1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083F2E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3D36558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470C63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A9D6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D87ACE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83CFD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51C9916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530D0A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62AD6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w:t>
                  </w:r>
                </w:p>
              </w:tc>
              <w:tc>
                <w:tcPr>
                  <w:tcW w:w="0" w:type="auto"/>
                  <w:shd w:val="clear" w:color="auto" w:fill="auto"/>
                  <w:noWrap/>
                  <w:vAlign w:val="center"/>
                </w:tcPr>
                <w:p w14:paraId="0995653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72.6</w:t>
                  </w:r>
                </w:p>
              </w:tc>
              <w:tc>
                <w:tcPr>
                  <w:tcW w:w="0" w:type="auto"/>
                  <w:shd w:val="clear" w:color="auto" w:fill="auto"/>
                  <w:noWrap/>
                  <w:vAlign w:val="center"/>
                </w:tcPr>
                <w:p w14:paraId="20644C7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5CFF86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2681976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46.6</w:t>
                  </w:r>
                </w:p>
              </w:tc>
              <w:tc>
                <w:tcPr>
                  <w:tcW w:w="0" w:type="auto"/>
                  <w:shd w:val="clear" w:color="auto" w:fill="auto"/>
                  <w:noWrap/>
                  <w:vAlign w:val="center"/>
                </w:tcPr>
                <w:p w14:paraId="73B90DC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1022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05792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E9524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0A9366C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755E1B5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8C4019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8DCBC4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06023F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C7AE0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2684421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3363CA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E7A88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3.13</w:t>
                  </w:r>
                </w:p>
              </w:tc>
              <w:tc>
                <w:tcPr>
                  <w:tcW w:w="0" w:type="auto"/>
                  <w:shd w:val="clear" w:color="auto" w:fill="auto"/>
                  <w:noWrap/>
                  <w:vAlign w:val="center"/>
                </w:tcPr>
                <w:p w14:paraId="4713247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72.4</w:t>
                  </w:r>
                </w:p>
              </w:tc>
              <w:tc>
                <w:tcPr>
                  <w:tcW w:w="0" w:type="auto"/>
                  <w:shd w:val="clear" w:color="auto" w:fill="auto"/>
                  <w:noWrap/>
                  <w:vAlign w:val="center"/>
                </w:tcPr>
                <w:p w14:paraId="12F2CC3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6343340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D34FA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46.4</w:t>
                  </w:r>
                </w:p>
              </w:tc>
              <w:tc>
                <w:tcPr>
                  <w:tcW w:w="0" w:type="auto"/>
                  <w:shd w:val="clear" w:color="auto" w:fill="auto"/>
                  <w:noWrap/>
                  <w:vAlign w:val="center"/>
                </w:tcPr>
                <w:p w14:paraId="0D8817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354D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42AC0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w:t>
                  </w:r>
                </w:p>
              </w:tc>
              <w:tc>
                <w:tcPr>
                  <w:tcW w:w="0" w:type="auto"/>
                  <w:shd w:val="clear" w:color="auto" w:fill="auto"/>
                  <w:noWrap/>
                  <w:vAlign w:val="center"/>
                </w:tcPr>
                <w:p w14:paraId="700FA3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4F046D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621BAD5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68D7DE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4B732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3E7ABB7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76915D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4D0AB6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4642C9E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2A824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5.14</w:t>
                  </w:r>
                </w:p>
              </w:tc>
              <w:tc>
                <w:tcPr>
                  <w:tcW w:w="0" w:type="auto"/>
                  <w:shd w:val="clear" w:color="auto" w:fill="auto"/>
                  <w:noWrap/>
                  <w:vAlign w:val="center"/>
                </w:tcPr>
                <w:p w14:paraId="46ACA1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72.36</w:t>
                  </w:r>
                </w:p>
              </w:tc>
              <w:tc>
                <w:tcPr>
                  <w:tcW w:w="0" w:type="auto"/>
                  <w:shd w:val="clear" w:color="auto" w:fill="auto"/>
                  <w:noWrap/>
                  <w:vAlign w:val="center"/>
                </w:tcPr>
                <w:p w14:paraId="34F62FE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618FD17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83EF8E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46.36</w:t>
                  </w:r>
                </w:p>
              </w:tc>
              <w:tc>
                <w:tcPr>
                  <w:tcW w:w="0" w:type="auto"/>
                  <w:shd w:val="clear" w:color="auto" w:fill="auto"/>
                  <w:noWrap/>
                  <w:vAlign w:val="center"/>
                </w:tcPr>
                <w:p w14:paraId="54703E1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F2D1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49361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w:t>
                  </w:r>
                </w:p>
              </w:tc>
              <w:tc>
                <w:tcPr>
                  <w:tcW w:w="0" w:type="auto"/>
                  <w:shd w:val="clear" w:color="auto" w:fill="auto"/>
                  <w:noWrap/>
                  <w:vAlign w:val="center"/>
                </w:tcPr>
                <w:p w14:paraId="329409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611281E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0F8576B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21476B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45611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41F5F3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146518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6CBEB68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1AED217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784CF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6.95</w:t>
                  </w:r>
                </w:p>
              </w:tc>
              <w:tc>
                <w:tcPr>
                  <w:tcW w:w="0" w:type="auto"/>
                  <w:shd w:val="clear" w:color="auto" w:fill="auto"/>
                  <w:noWrap/>
                  <w:vAlign w:val="center"/>
                </w:tcPr>
                <w:p w14:paraId="72E437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72.35</w:t>
                  </w:r>
                </w:p>
              </w:tc>
              <w:tc>
                <w:tcPr>
                  <w:tcW w:w="0" w:type="auto"/>
                  <w:shd w:val="clear" w:color="auto" w:fill="auto"/>
                  <w:noWrap/>
                  <w:vAlign w:val="center"/>
                </w:tcPr>
                <w:p w14:paraId="3795F1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791BD90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73CE74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46.35</w:t>
                  </w:r>
                </w:p>
              </w:tc>
              <w:tc>
                <w:tcPr>
                  <w:tcW w:w="0" w:type="auto"/>
                  <w:shd w:val="clear" w:color="auto" w:fill="auto"/>
                  <w:noWrap/>
                  <w:vAlign w:val="center"/>
                </w:tcPr>
                <w:p w14:paraId="2078B3D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192C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FAAD7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w:t>
                  </w:r>
                </w:p>
              </w:tc>
              <w:tc>
                <w:tcPr>
                  <w:tcW w:w="0" w:type="auto"/>
                  <w:shd w:val="clear" w:color="auto" w:fill="auto"/>
                  <w:noWrap/>
                  <w:vAlign w:val="center"/>
                </w:tcPr>
                <w:p w14:paraId="315D53D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3FEE49F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0A14EC7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CB14DA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B60B6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271D73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B2DA2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545477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5C4C4D6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539C7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10.58</w:t>
                  </w:r>
                </w:p>
              </w:tc>
              <w:tc>
                <w:tcPr>
                  <w:tcW w:w="0" w:type="auto"/>
                  <w:shd w:val="clear" w:color="auto" w:fill="auto"/>
                  <w:noWrap/>
                  <w:vAlign w:val="center"/>
                </w:tcPr>
                <w:p w14:paraId="7528343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72.34</w:t>
                  </w:r>
                </w:p>
              </w:tc>
              <w:tc>
                <w:tcPr>
                  <w:tcW w:w="0" w:type="auto"/>
                  <w:shd w:val="clear" w:color="auto" w:fill="auto"/>
                  <w:noWrap/>
                  <w:vAlign w:val="center"/>
                </w:tcPr>
                <w:p w14:paraId="7A7968F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4DA7E7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DBBD8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46.34</w:t>
                  </w:r>
                </w:p>
              </w:tc>
              <w:tc>
                <w:tcPr>
                  <w:tcW w:w="0" w:type="auto"/>
                  <w:shd w:val="clear" w:color="auto" w:fill="auto"/>
                  <w:noWrap/>
                  <w:vAlign w:val="center"/>
                </w:tcPr>
                <w:p w14:paraId="60E83F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4325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079151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w:t>
                  </w:r>
                </w:p>
              </w:tc>
              <w:tc>
                <w:tcPr>
                  <w:tcW w:w="0" w:type="auto"/>
                  <w:shd w:val="clear" w:color="auto" w:fill="auto"/>
                  <w:noWrap/>
                  <w:vAlign w:val="center"/>
                </w:tcPr>
                <w:p w14:paraId="1063E55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筛分车间</w:t>
                  </w:r>
                </w:p>
              </w:tc>
              <w:tc>
                <w:tcPr>
                  <w:tcW w:w="0" w:type="auto"/>
                  <w:shd w:val="clear" w:color="auto" w:fill="auto"/>
                  <w:noWrap/>
                  <w:vAlign w:val="center"/>
                </w:tcPr>
                <w:p w14:paraId="10B3ED6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原料筛分风机</w:t>
                  </w:r>
                </w:p>
              </w:tc>
              <w:tc>
                <w:tcPr>
                  <w:tcW w:w="0" w:type="auto"/>
                  <w:shd w:val="clear" w:color="auto" w:fill="auto"/>
                  <w:noWrap/>
                  <w:vAlign w:val="center"/>
                </w:tcPr>
                <w:p w14:paraId="0A4858C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2EC17D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BEF32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70322B3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0C8967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289.37</w:t>
                  </w:r>
                </w:p>
              </w:tc>
              <w:tc>
                <w:tcPr>
                  <w:tcW w:w="0" w:type="auto"/>
                  <w:shd w:val="clear" w:color="auto" w:fill="auto"/>
                  <w:noWrap/>
                  <w:vAlign w:val="center"/>
                </w:tcPr>
                <w:p w14:paraId="0B9F119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112.52</w:t>
                  </w:r>
                </w:p>
              </w:tc>
              <w:tc>
                <w:tcPr>
                  <w:tcW w:w="0" w:type="auto"/>
                  <w:shd w:val="clear" w:color="auto" w:fill="auto"/>
                  <w:noWrap/>
                  <w:vAlign w:val="center"/>
                </w:tcPr>
                <w:p w14:paraId="2275A8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02C1FC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3.29</w:t>
                  </w:r>
                </w:p>
              </w:tc>
              <w:tc>
                <w:tcPr>
                  <w:tcW w:w="0" w:type="auto"/>
                  <w:shd w:val="clear" w:color="auto" w:fill="auto"/>
                  <w:noWrap/>
                  <w:vAlign w:val="center"/>
                </w:tcPr>
                <w:p w14:paraId="31CC4A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72.39</w:t>
                  </w:r>
                </w:p>
              </w:tc>
              <w:tc>
                <w:tcPr>
                  <w:tcW w:w="0" w:type="auto"/>
                  <w:shd w:val="clear" w:color="auto" w:fill="auto"/>
                  <w:noWrap/>
                  <w:vAlign w:val="center"/>
                </w:tcPr>
                <w:p w14:paraId="6FD6190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0B31F2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169219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46.39</w:t>
                  </w:r>
                </w:p>
              </w:tc>
              <w:tc>
                <w:tcPr>
                  <w:tcW w:w="0" w:type="auto"/>
                  <w:shd w:val="clear" w:color="auto" w:fill="auto"/>
                  <w:noWrap/>
                  <w:vAlign w:val="center"/>
                </w:tcPr>
                <w:p w14:paraId="5D6771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4E10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37D2B0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w:t>
                  </w:r>
                </w:p>
              </w:tc>
              <w:tc>
                <w:tcPr>
                  <w:tcW w:w="0" w:type="auto"/>
                  <w:shd w:val="clear" w:color="auto" w:fill="auto"/>
                  <w:noWrap/>
                  <w:vAlign w:val="center"/>
                </w:tcPr>
                <w:p w14:paraId="41A943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7437AFC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799E875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D45D68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23C13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651D4F7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1255D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66A204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12136D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0A6A97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2.31</w:t>
                  </w:r>
                </w:p>
              </w:tc>
              <w:tc>
                <w:tcPr>
                  <w:tcW w:w="0" w:type="auto"/>
                  <w:shd w:val="clear" w:color="auto" w:fill="auto"/>
                  <w:noWrap/>
                  <w:vAlign w:val="center"/>
                </w:tcPr>
                <w:p w14:paraId="60193D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68.26</w:t>
                  </w:r>
                </w:p>
              </w:tc>
              <w:tc>
                <w:tcPr>
                  <w:tcW w:w="0" w:type="auto"/>
                  <w:shd w:val="clear" w:color="auto" w:fill="auto"/>
                  <w:noWrap/>
                  <w:vAlign w:val="center"/>
                </w:tcPr>
                <w:p w14:paraId="446F10D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4C0798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5E897B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42.26</w:t>
                  </w:r>
                </w:p>
              </w:tc>
              <w:tc>
                <w:tcPr>
                  <w:tcW w:w="0" w:type="auto"/>
                  <w:shd w:val="clear" w:color="auto" w:fill="auto"/>
                  <w:noWrap/>
                  <w:vAlign w:val="center"/>
                </w:tcPr>
                <w:p w14:paraId="71BA5F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CDFA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A6E73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w:t>
                  </w:r>
                </w:p>
              </w:tc>
              <w:tc>
                <w:tcPr>
                  <w:tcW w:w="0" w:type="auto"/>
                  <w:shd w:val="clear" w:color="auto" w:fill="auto"/>
                  <w:noWrap/>
                  <w:vAlign w:val="center"/>
                </w:tcPr>
                <w:p w14:paraId="1D527E7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3CCB45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418EEDD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2C5FF9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2636DC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75ABCDE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BA621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6C06C6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269A763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78ED7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8.96</w:t>
                  </w:r>
                </w:p>
              </w:tc>
              <w:tc>
                <w:tcPr>
                  <w:tcW w:w="0" w:type="auto"/>
                  <w:shd w:val="clear" w:color="auto" w:fill="auto"/>
                  <w:noWrap/>
                  <w:vAlign w:val="center"/>
                </w:tcPr>
                <w:p w14:paraId="5489370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68.17</w:t>
                  </w:r>
                </w:p>
              </w:tc>
              <w:tc>
                <w:tcPr>
                  <w:tcW w:w="0" w:type="auto"/>
                  <w:shd w:val="clear" w:color="auto" w:fill="auto"/>
                  <w:noWrap/>
                  <w:vAlign w:val="center"/>
                </w:tcPr>
                <w:p w14:paraId="345EAF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3EAB5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26F19C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42.17</w:t>
                  </w:r>
                </w:p>
              </w:tc>
              <w:tc>
                <w:tcPr>
                  <w:tcW w:w="0" w:type="auto"/>
                  <w:shd w:val="clear" w:color="auto" w:fill="auto"/>
                  <w:noWrap/>
                  <w:vAlign w:val="center"/>
                </w:tcPr>
                <w:p w14:paraId="396AED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AB2C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858A1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w:t>
                  </w:r>
                </w:p>
              </w:tc>
              <w:tc>
                <w:tcPr>
                  <w:tcW w:w="0" w:type="auto"/>
                  <w:shd w:val="clear" w:color="auto" w:fill="auto"/>
                  <w:noWrap/>
                  <w:vAlign w:val="center"/>
                </w:tcPr>
                <w:p w14:paraId="14C84B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3B5843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1C21999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44F747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25DEF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5B48529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61780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1BE2C26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0661A9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B4898E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w:t>
                  </w:r>
                </w:p>
              </w:tc>
              <w:tc>
                <w:tcPr>
                  <w:tcW w:w="0" w:type="auto"/>
                  <w:shd w:val="clear" w:color="auto" w:fill="auto"/>
                  <w:noWrap/>
                  <w:vAlign w:val="center"/>
                </w:tcPr>
                <w:p w14:paraId="637112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68.32</w:t>
                  </w:r>
                </w:p>
              </w:tc>
              <w:tc>
                <w:tcPr>
                  <w:tcW w:w="0" w:type="auto"/>
                  <w:shd w:val="clear" w:color="auto" w:fill="auto"/>
                  <w:noWrap/>
                  <w:vAlign w:val="center"/>
                </w:tcPr>
                <w:p w14:paraId="2EF18F5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11CAB2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E7261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42.32</w:t>
                  </w:r>
                </w:p>
              </w:tc>
              <w:tc>
                <w:tcPr>
                  <w:tcW w:w="0" w:type="auto"/>
                  <w:shd w:val="clear" w:color="auto" w:fill="auto"/>
                  <w:noWrap/>
                  <w:vAlign w:val="center"/>
                </w:tcPr>
                <w:p w14:paraId="12B3E11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A72E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B5F775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w:t>
                  </w:r>
                </w:p>
              </w:tc>
              <w:tc>
                <w:tcPr>
                  <w:tcW w:w="0" w:type="auto"/>
                  <w:shd w:val="clear" w:color="auto" w:fill="auto"/>
                  <w:noWrap/>
                  <w:vAlign w:val="center"/>
                </w:tcPr>
                <w:p w14:paraId="10CFDE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4C8FBEE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4C3E1B3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CE8701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A79073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1AC553E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1D4507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717E35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55C925E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1F8E1E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6.74</w:t>
                  </w:r>
                </w:p>
              </w:tc>
              <w:tc>
                <w:tcPr>
                  <w:tcW w:w="0" w:type="auto"/>
                  <w:shd w:val="clear" w:color="auto" w:fill="auto"/>
                  <w:noWrap/>
                  <w:vAlign w:val="center"/>
                </w:tcPr>
                <w:p w14:paraId="16F1177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68.17</w:t>
                  </w:r>
                </w:p>
              </w:tc>
              <w:tc>
                <w:tcPr>
                  <w:tcW w:w="0" w:type="auto"/>
                  <w:shd w:val="clear" w:color="auto" w:fill="auto"/>
                  <w:noWrap/>
                  <w:vAlign w:val="center"/>
                </w:tcPr>
                <w:p w14:paraId="2DD986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36D89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298098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42.17</w:t>
                  </w:r>
                </w:p>
              </w:tc>
              <w:tc>
                <w:tcPr>
                  <w:tcW w:w="0" w:type="auto"/>
                  <w:shd w:val="clear" w:color="auto" w:fill="auto"/>
                  <w:noWrap/>
                  <w:vAlign w:val="center"/>
                </w:tcPr>
                <w:p w14:paraId="0060F0A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C846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41F9A0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w:t>
                  </w:r>
                </w:p>
              </w:tc>
              <w:tc>
                <w:tcPr>
                  <w:tcW w:w="0" w:type="auto"/>
                  <w:shd w:val="clear" w:color="auto" w:fill="auto"/>
                  <w:noWrap/>
                  <w:vAlign w:val="center"/>
                </w:tcPr>
                <w:p w14:paraId="07CAE0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6EC4CE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10F6BF8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A328D6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A2CEA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52722D9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E304D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7674925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161FC0D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C7B966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2.31</w:t>
                  </w:r>
                </w:p>
              </w:tc>
              <w:tc>
                <w:tcPr>
                  <w:tcW w:w="0" w:type="auto"/>
                  <w:shd w:val="clear" w:color="auto" w:fill="auto"/>
                  <w:noWrap/>
                  <w:vAlign w:val="center"/>
                </w:tcPr>
                <w:p w14:paraId="61B118A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68.26</w:t>
                  </w:r>
                </w:p>
              </w:tc>
              <w:tc>
                <w:tcPr>
                  <w:tcW w:w="0" w:type="auto"/>
                  <w:shd w:val="clear" w:color="auto" w:fill="auto"/>
                  <w:noWrap/>
                  <w:vAlign w:val="center"/>
                </w:tcPr>
                <w:p w14:paraId="5031AB3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2E0F247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DFF250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42.26</w:t>
                  </w:r>
                </w:p>
              </w:tc>
              <w:tc>
                <w:tcPr>
                  <w:tcW w:w="0" w:type="auto"/>
                  <w:shd w:val="clear" w:color="auto" w:fill="auto"/>
                  <w:noWrap/>
                  <w:vAlign w:val="center"/>
                </w:tcPr>
                <w:p w14:paraId="3957F24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D144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28250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0" w:type="auto"/>
                  <w:shd w:val="clear" w:color="auto" w:fill="auto"/>
                  <w:noWrap/>
                  <w:vAlign w:val="center"/>
                </w:tcPr>
                <w:p w14:paraId="56A954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74550C9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0A2DA9C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FC20E0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9D7E7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D88D50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70CB3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00B13D5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19CFEA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8460F4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8.96</w:t>
                  </w:r>
                </w:p>
              </w:tc>
              <w:tc>
                <w:tcPr>
                  <w:tcW w:w="0" w:type="auto"/>
                  <w:shd w:val="clear" w:color="auto" w:fill="auto"/>
                  <w:noWrap/>
                  <w:vAlign w:val="center"/>
                </w:tcPr>
                <w:p w14:paraId="5C6C94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68.17</w:t>
                  </w:r>
                </w:p>
              </w:tc>
              <w:tc>
                <w:tcPr>
                  <w:tcW w:w="0" w:type="auto"/>
                  <w:shd w:val="clear" w:color="auto" w:fill="auto"/>
                  <w:noWrap/>
                  <w:vAlign w:val="center"/>
                </w:tcPr>
                <w:p w14:paraId="75AD5F9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107609B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2F620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42.17</w:t>
                  </w:r>
                </w:p>
              </w:tc>
              <w:tc>
                <w:tcPr>
                  <w:tcW w:w="0" w:type="auto"/>
                  <w:shd w:val="clear" w:color="auto" w:fill="auto"/>
                  <w:noWrap/>
                  <w:vAlign w:val="center"/>
                </w:tcPr>
                <w:p w14:paraId="454BE9C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AFD2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EC41D9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w:t>
                  </w:r>
                </w:p>
              </w:tc>
              <w:tc>
                <w:tcPr>
                  <w:tcW w:w="0" w:type="auto"/>
                  <w:shd w:val="clear" w:color="auto" w:fill="auto"/>
                  <w:noWrap/>
                  <w:vAlign w:val="center"/>
                </w:tcPr>
                <w:p w14:paraId="120AD73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49D25EA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0F793B3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14A8BE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1FE06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73D7A37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B2D7F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0053EB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33F34EE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08BB64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w:t>
                  </w:r>
                </w:p>
              </w:tc>
              <w:tc>
                <w:tcPr>
                  <w:tcW w:w="0" w:type="auto"/>
                  <w:shd w:val="clear" w:color="auto" w:fill="auto"/>
                  <w:noWrap/>
                  <w:vAlign w:val="center"/>
                </w:tcPr>
                <w:p w14:paraId="20E861F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68.32</w:t>
                  </w:r>
                </w:p>
              </w:tc>
              <w:tc>
                <w:tcPr>
                  <w:tcW w:w="0" w:type="auto"/>
                  <w:shd w:val="clear" w:color="auto" w:fill="auto"/>
                  <w:noWrap/>
                  <w:vAlign w:val="center"/>
                </w:tcPr>
                <w:p w14:paraId="008DF1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49BCDC1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0AA0A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42.32</w:t>
                  </w:r>
                </w:p>
              </w:tc>
              <w:tc>
                <w:tcPr>
                  <w:tcW w:w="0" w:type="auto"/>
                  <w:shd w:val="clear" w:color="auto" w:fill="auto"/>
                  <w:noWrap/>
                  <w:vAlign w:val="center"/>
                </w:tcPr>
                <w:p w14:paraId="4617B2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08D6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88B281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w:t>
                  </w:r>
                </w:p>
              </w:tc>
              <w:tc>
                <w:tcPr>
                  <w:tcW w:w="0" w:type="auto"/>
                  <w:shd w:val="clear" w:color="auto" w:fill="auto"/>
                  <w:noWrap/>
                  <w:vAlign w:val="center"/>
                </w:tcPr>
                <w:p w14:paraId="088F1AD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2A0D63B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给料机</w:t>
                  </w:r>
                </w:p>
              </w:tc>
              <w:tc>
                <w:tcPr>
                  <w:tcW w:w="0" w:type="auto"/>
                  <w:shd w:val="clear" w:color="auto" w:fill="auto"/>
                  <w:noWrap/>
                  <w:vAlign w:val="center"/>
                </w:tcPr>
                <w:p w14:paraId="2966FE6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8BB02F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AE6DF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53453E6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D9828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287.58</w:t>
                  </w:r>
                </w:p>
              </w:tc>
              <w:tc>
                <w:tcPr>
                  <w:tcW w:w="0" w:type="auto"/>
                  <w:shd w:val="clear" w:color="auto" w:fill="auto"/>
                  <w:noWrap/>
                  <w:vAlign w:val="center"/>
                </w:tcPr>
                <w:p w14:paraId="7DF06D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152.45</w:t>
                  </w:r>
                </w:p>
              </w:tc>
              <w:tc>
                <w:tcPr>
                  <w:tcW w:w="0" w:type="auto"/>
                  <w:shd w:val="clear" w:color="auto" w:fill="auto"/>
                  <w:noWrap/>
                  <w:vAlign w:val="center"/>
                </w:tcPr>
                <w:p w14:paraId="4854A08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0A9007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6.74</w:t>
                  </w:r>
                </w:p>
              </w:tc>
              <w:tc>
                <w:tcPr>
                  <w:tcW w:w="0" w:type="auto"/>
                  <w:shd w:val="clear" w:color="auto" w:fill="auto"/>
                  <w:noWrap/>
                  <w:vAlign w:val="center"/>
                </w:tcPr>
                <w:p w14:paraId="67C2187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68.17</w:t>
                  </w:r>
                </w:p>
              </w:tc>
              <w:tc>
                <w:tcPr>
                  <w:tcW w:w="0" w:type="auto"/>
                  <w:shd w:val="clear" w:color="auto" w:fill="auto"/>
                  <w:noWrap/>
                  <w:vAlign w:val="center"/>
                </w:tcPr>
                <w:p w14:paraId="36EF4E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23FDDBB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43DF99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42.17</w:t>
                  </w:r>
                </w:p>
              </w:tc>
              <w:tc>
                <w:tcPr>
                  <w:tcW w:w="0" w:type="auto"/>
                  <w:shd w:val="clear" w:color="auto" w:fill="auto"/>
                  <w:noWrap/>
                  <w:vAlign w:val="center"/>
                </w:tcPr>
                <w:p w14:paraId="6A9A2F8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DF5D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31B38A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w:t>
                  </w:r>
                </w:p>
              </w:tc>
              <w:tc>
                <w:tcPr>
                  <w:tcW w:w="0" w:type="auto"/>
                  <w:shd w:val="clear" w:color="auto" w:fill="auto"/>
                  <w:noWrap/>
                  <w:vAlign w:val="center"/>
                </w:tcPr>
                <w:p w14:paraId="5CE93EC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20B3473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6156AC7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B2EC11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251715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5DB570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C485D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5813825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28AA48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A149F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0.81</w:t>
                  </w:r>
                </w:p>
              </w:tc>
              <w:tc>
                <w:tcPr>
                  <w:tcW w:w="0" w:type="auto"/>
                  <w:shd w:val="clear" w:color="auto" w:fill="auto"/>
                  <w:noWrap/>
                  <w:vAlign w:val="center"/>
                </w:tcPr>
                <w:p w14:paraId="58BEE0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73.9</w:t>
                  </w:r>
                </w:p>
              </w:tc>
              <w:tc>
                <w:tcPr>
                  <w:tcW w:w="0" w:type="auto"/>
                  <w:shd w:val="clear" w:color="auto" w:fill="auto"/>
                  <w:noWrap/>
                  <w:vAlign w:val="center"/>
                </w:tcPr>
                <w:p w14:paraId="68AE6D4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553D34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56B0B0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47.9</w:t>
                  </w:r>
                </w:p>
              </w:tc>
              <w:tc>
                <w:tcPr>
                  <w:tcW w:w="0" w:type="auto"/>
                  <w:shd w:val="clear" w:color="auto" w:fill="auto"/>
                  <w:noWrap/>
                  <w:vAlign w:val="center"/>
                </w:tcPr>
                <w:p w14:paraId="605BEF1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A201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E5BDC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w:t>
                  </w:r>
                </w:p>
              </w:tc>
              <w:tc>
                <w:tcPr>
                  <w:tcW w:w="0" w:type="auto"/>
                  <w:shd w:val="clear" w:color="auto" w:fill="auto"/>
                  <w:noWrap/>
                  <w:vAlign w:val="center"/>
                </w:tcPr>
                <w:p w14:paraId="5016607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472493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066E61A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99D4A5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A650E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3BBC5E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2B6BA1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45DFB33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2F4BF2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7992A1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1.45</w:t>
                  </w:r>
                </w:p>
              </w:tc>
              <w:tc>
                <w:tcPr>
                  <w:tcW w:w="0" w:type="auto"/>
                  <w:shd w:val="clear" w:color="auto" w:fill="auto"/>
                  <w:noWrap/>
                  <w:vAlign w:val="center"/>
                </w:tcPr>
                <w:p w14:paraId="0FA6CF0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73.4</w:t>
                  </w:r>
                </w:p>
              </w:tc>
              <w:tc>
                <w:tcPr>
                  <w:tcW w:w="0" w:type="auto"/>
                  <w:shd w:val="clear" w:color="auto" w:fill="auto"/>
                  <w:noWrap/>
                  <w:vAlign w:val="center"/>
                </w:tcPr>
                <w:p w14:paraId="5C22CBA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D0CB56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55455F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47.4</w:t>
                  </w:r>
                </w:p>
              </w:tc>
              <w:tc>
                <w:tcPr>
                  <w:tcW w:w="0" w:type="auto"/>
                  <w:shd w:val="clear" w:color="auto" w:fill="auto"/>
                  <w:noWrap/>
                  <w:vAlign w:val="center"/>
                </w:tcPr>
                <w:p w14:paraId="1113B4B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B1B2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54422A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0" w:type="auto"/>
                  <w:shd w:val="clear" w:color="auto" w:fill="auto"/>
                  <w:noWrap/>
                  <w:vAlign w:val="center"/>
                </w:tcPr>
                <w:p w14:paraId="16F443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30D2DEA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2F7EEF7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B120FE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8AF576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5E2B8E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437DE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4F64EC6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23AB43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8447F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w:t>
                  </w:r>
                </w:p>
              </w:tc>
              <w:tc>
                <w:tcPr>
                  <w:tcW w:w="0" w:type="auto"/>
                  <w:shd w:val="clear" w:color="auto" w:fill="auto"/>
                  <w:noWrap/>
                  <w:vAlign w:val="center"/>
                </w:tcPr>
                <w:p w14:paraId="06C0483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73.2</w:t>
                  </w:r>
                </w:p>
              </w:tc>
              <w:tc>
                <w:tcPr>
                  <w:tcW w:w="0" w:type="auto"/>
                  <w:shd w:val="clear" w:color="auto" w:fill="auto"/>
                  <w:noWrap/>
                  <w:vAlign w:val="center"/>
                </w:tcPr>
                <w:p w14:paraId="2179ED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9334A0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3A59D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47.2</w:t>
                  </w:r>
                </w:p>
              </w:tc>
              <w:tc>
                <w:tcPr>
                  <w:tcW w:w="0" w:type="auto"/>
                  <w:shd w:val="clear" w:color="auto" w:fill="auto"/>
                  <w:noWrap/>
                  <w:vAlign w:val="center"/>
                </w:tcPr>
                <w:p w14:paraId="7DD88E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BE5D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758E81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w:t>
                  </w:r>
                </w:p>
              </w:tc>
              <w:tc>
                <w:tcPr>
                  <w:tcW w:w="0" w:type="auto"/>
                  <w:shd w:val="clear" w:color="auto" w:fill="auto"/>
                  <w:noWrap/>
                  <w:vAlign w:val="center"/>
                </w:tcPr>
                <w:p w14:paraId="6F30C8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175F571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1EEB957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2862D5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A51B5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FB3F29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CDEF41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33DA06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550D2A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13DCD7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0" w:type="auto"/>
                  <w:shd w:val="clear" w:color="auto" w:fill="auto"/>
                  <w:noWrap/>
                  <w:vAlign w:val="center"/>
                </w:tcPr>
                <w:p w14:paraId="4EF3DBA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73.16</w:t>
                  </w:r>
                </w:p>
              </w:tc>
              <w:tc>
                <w:tcPr>
                  <w:tcW w:w="0" w:type="auto"/>
                  <w:shd w:val="clear" w:color="auto" w:fill="auto"/>
                  <w:noWrap/>
                  <w:vAlign w:val="center"/>
                </w:tcPr>
                <w:p w14:paraId="7A611D8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12FACFD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5974C0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47.16</w:t>
                  </w:r>
                </w:p>
              </w:tc>
              <w:tc>
                <w:tcPr>
                  <w:tcW w:w="0" w:type="auto"/>
                  <w:shd w:val="clear" w:color="auto" w:fill="auto"/>
                  <w:noWrap/>
                  <w:vAlign w:val="center"/>
                </w:tcPr>
                <w:p w14:paraId="3CD7410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FBA6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170F8B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37</w:t>
                  </w:r>
                </w:p>
              </w:tc>
              <w:tc>
                <w:tcPr>
                  <w:tcW w:w="0" w:type="auto"/>
                  <w:shd w:val="clear" w:color="auto" w:fill="auto"/>
                  <w:noWrap/>
                  <w:vAlign w:val="center"/>
                </w:tcPr>
                <w:p w14:paraId="3CB6AFF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1BDBCA3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16A46D9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14161B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29238C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85DD2A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A2F152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4811A4E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3F3CD2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DA3031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0.81</w:t>
                  </w:r>
                </w:p>
              </w:tc>
              <w:tc>
                <w:tcPr>
                  <w:tcW w:w="0" w:type="auto"/>
                  <w:shd w:val="clear" w:color="auto" w:fill="auto"/>
                  <w:noWrap/>
                  <w:vAlign w:val="center"/>
                </w:tcPr>
                <w:p w14:paraId="280DAE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73.9</w:t>
                  </w:r>
                </w:p>
              </w:tc>
              <w:tc>
                <w:tcPr>
                  <w:tcW w:w="0" w:type="auto"/>
                  <w:shd w:val="clear" w:color="auto" w:fill="auto"/>
                  <w:noWrap/>
                  <w:vAlign w:val="center"/>
                </w:tcPr>
                <w:p w14:paraId="4B0A3A7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07E449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B8FEA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47.9</w:t>
                  </w:r>
                </w:p>
              </w:tc>
              <w:tc>
                <w:tcPr>
                  <w:tcW w:w="0" w:type="auto"/>
                  <w:shd w:val="clear" w:color="auto" w:fill="auto"/>
                  <w:noWrap/>
                  <w:vAlign w:val="center"/>
                </w:tcPr>
                <w:p w14:paraId="583C47B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83B4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D0C4E8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w:t>
                  </w:r>
                </w:p>
              </w:tc>
              <w:tc>
                <w:tcPr>
                  <w:tcW w:w="0" w:type="auto"/>
                  <w:shd w:val="clear" w:color="auto" w:fill="auto"/>
                  <w:noWrap/>
                  <w:vAlign w:val="center"/>
                </w:tcPr>
                <w:p w14:paraId="5F07CF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19CCE5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0DF5EAF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9E9C28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E3641E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634F60E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186617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780CD8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0BDFC12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FDD6AF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1.45</w:t>
                  </w:r>
                </w:p>
              </w:tc>
              <w:tc>
                <w:tcPr>
                  <w:tcW w:w="0" w:type="auto"/>
                  <w:shd w:val="clear" w:color="auto" w:fill="auto"/>
                  <w:noWrap/>
                  <w:vAlign w:val="center"/>
                </w:tcPr>
                <w:p w14:paraId="00DE35E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73.4</w:t>
                  </w:r>
                </w:p>
              </w:tc>
              <w:tc>
                <w:tcPr>
                  <w:tcW w:w="0" w:type="auto"/>
                  <w:shd w:val="clear" w:color="auto" w:fill="auto"/>
                  <w:noWrap/>
                  <w:vAlign w:val="center"/>
                </w:tcPr>
                <w:p w14:paraId="78009A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663AF41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1FA77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47.4</w:t>
                  </w:r>
                </w:p>
              </w:tc>
              <w:tc>
                <w:tcPr>
                  <w:tcW w:w="0" w:type="auto"/>
                  <w:shd w:val="clear" w:color="auto" w:fill="auto"/>
                  <w:noWrap/>
                  <w:vAlign w:val="center"/>
                </w:tcPr>
                <w:p w14:paraId="6B5004B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1430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2D727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w:t>
                  </w:r>
                </w:p>
              </w:tc>
              <w:tc>
                <w:tcPr>
                  <w:tcW w:w="0" w:type="auto"/>
                  <w:shd w:val="clear" w:color="auto" w:fill="auto"/>
                  <w:noWrap/>
                  <w:vAlign w:val="center"/>
                </w:tcPr>
                <w:p w14:paraId="0A7D9B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495153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22098F1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E9D512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FB6FE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36053D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D7CF08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0951F92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2F3E57E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AE20E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w:t>
                  </w:r>
                </w:p>
              </w:tc>
              <w:tc>
                <w:tcPr>
                  <w:tcW w:w="0" w:type="auto"/>
                  <w:shd w:val="clear" w:color="auto" w:fill="auto"/>
                  <w:noWrap/>
                  <w:vAlign w:val="center"/>
                </w:tcPr>
                <w:p w14:paraId="3C19A19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73.2</w:t>
                  </w:r>
                </w:p>
              </w:tc>
              <w:tc>
                <w:tcPr>
                  <w:tcW w:w="0" w:type="auto"/>
                  <w:shd w:val="clear" w:color="auto" w:fill="auto"/>
                  <w:noWrap/>
                  <w:vAlign w:val="center"/>
                </w:tcPr>
                <w:p w14:paraId="0D6016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DBBA6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BB65E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47.2</w:t>
                  </w:r>
                </w:p>
              </w:tc>
              <w:tc>
                <w:tcPr>
                  <w:tcW w:w="0" w:type="auto"/>
                  <w:shd w:val="clear" w:color="auto" w:fill="auto"/>
                  <w:noWrap/>
                  <w:vAlign w:val="center"/>
                </w:tcPr>
                <w:p w14:paraId="246C622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091A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8CEC1B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w:t>
                  </w:r>
                </w:p>
              </w:tc>
              <w:tc>
                <w:tcPr>
                  <w:tcW w:w="0" w:type="auto"/>
                  <w:shd w:val="clear" w:color="auto" w:fill="auto"/>
                  <w:noWrap/>
                  <w:vAlign w:val="center"/>
                </w:tcPr>
                <w:p w14:paraId="5DA5A83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给料间</w:t>
                  </w:r>
                </w:p>
              </w:tc>
              <w:tc>
                <w:tcPr>
                  <w:tcW w:w="0" w:type="auto"/>
                  <w:shd w:val="clear" w:color="auto" w:fill="auto"/>
                  <w:noWrap/>
                  <w:vAlign w:val="center"/>
                </w:tcPr>
                <w:p w14:paraId="08962DC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给料风机</w:t>
                  </w:r>
                </w:p>
              </w:tc>
              <w:tc>
                <w:tcPr>
                  <w:tcW w:w="0" w:type="auto"/>
                  <w:shd w:val="clear" w:color="auto" w:fill="auto"/>
                  <w:noWrap/>
                  <w:vAlign w:val="center"/>
                </w:tcPr>
                <w:p w14:paraId="1DD4098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8FDCDB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72727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6C9CD68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B938CC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294.81</w:t>
                  </w:r>
                </w:p>
              </w:tc>
              <w:tc>
                <w:tcPr>
                  <w:tcW w:w="0" w:type="auto"/>
                  <w:shd w:val="clear" w:color="auto" w:fill="auto"/>
                  <w:noWrap/>
                  <w:vAlign w:val="center"/>
                </w:tcPr>
                <w:p w14:paraId="5016AB4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155.04</w:t>
                  </w:r>
                </w:p>
              </w:tc>
              <w:tc>
                <w:tcPr>
                  <w:tcW w:w="0" w:type="auto"/>
                  <w:shd w:val="clear" w:color="auto" w:fill="auto"/>
                  <w:noWrap/>
                  <w:vAlign w:val="center"/>
                </w:tcPr>
                <w:p w14:paraId="0E3FF7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5D66C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0" w:type="auto"/>
                  <w:shd w:val="clear" w:color="auto" w:fill="auto"/>
                  <w:noWrap/>
                  <w:vAlign w:val="center"/>
                </w:tcPr>
                <w:p w14:paraId="1547FBD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73.16</w:t>
                  </w:r>
                </w:p>
              </w:tc>
              <w:tc>
                <w:tcPr>
                  <w:tcW w:w="0" w:type="auto"/>
                  <w:shd w:val="clear" w:color="auto" w:fill="auto"/>
                  <w:noWrap/>
                  <w:vAlign w:val="center"/>
                </w:tcPr>
                <w:p w14:paraId="063EF07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27B25BD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A6C65D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47.16</w:t>
                  </w:r>
                </w:p>
              </w:tc>
              <w:tc>
                <w:tcPr>
                  <w:tcW w:w="0" w:type="auto"/>
                  <w:shd w:val="clear" w:color="auto" w:fill="auto"/>
                  <w:noWrap/>
                  <w:vAlign w:val="center"/>
                </w:tcPr>
                <w:p w14:paraId="56C2ADA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FCC8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E2C3EA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w:t>
                  </w:r>
                </w:p>
              </w:tc>
              <w:tc>
                <w:tcPr>
                  <w:tcW w:w="0" w:type="auto"/>
                  <w:shd w:val="clear" w:color="auto" w:fill="auto"/>
                  <w:noWrap/>
                  <w:vAlign w:val="center"/>
                </w:tcPr>
                <w:p w14:paraId="38BA160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45705B3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26D8CF6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25DC69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B8851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28E93F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A59A28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0ABD817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5FB6B47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E4850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29.56</w:t>
                  </w:r>
                </w:p>
              </w:tc>
              <w:tc>
                <w:tcPr>
                  <w:tcW w:w="0" w:type="auto"/>
                  <w:shd w:val="clear" w:color="auto" w:fill="auto"/>
                  <w:noWrap/>
                  <w:vAlign w:val="center"/>
                </w:tcPr>
                <w:p w14:paraId="00B6FED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60.54</w:t>
                  </w:r>
                </w:p>
              </w:tc>
              <w:tc>
                <w:tcPr>
                  <w:tcW w:w="0" w:type="auto"/>
                  <w:shd w:val="clear" w:color="auto" w:fill="auto"/>
                  <w:noWrap/>
                  <w:vAlign w:val="center"/>
                </w:tcPr>
                <w:p w14:paraId="30AE86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6A04E6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3393E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34.54</w:t>
                  </w:r>
                </w:p>
              </w:tc>
              <w:tc>
                <w:tcPr>
                  <w:tcW w:w="0" w:type="auto"/>
                  <w:shd w:val="clear" w:color="auto" w:fill="auto"/>
                  <w:noWrap/>
                  <w:vAlign w:val="center"/>
                </w:tcPr>
                <w:p w14:paraId="7994CC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1747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843C5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w:t>
                  </w:r>
                </w:p>
              </w:tc>
              <w:tc>
                <w:tcPr>
                  <w:tcW w:w="0" w:type="auto"/>
                  <w:shd w:val="clear" w:color="auto" w:fill="auto"/>
                  <w:noWrap/>
                  <w:vAlign w:val="center"/>
                </w:tcPr>
                <w:p w14:paraId="49F13A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7C2BB8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15B4605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DC517C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AFCC2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9301C5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BAAAB8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720E36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628B3AF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503CD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4.49</w:t>
                  </w:r>
                </w:p>
              </w:tc>
              <w:tc>
                <w:tcPr>
                  <w:tcW w:w="0" w:type="auto"/>
                  <w:shd w:val="clear" w:color="auto" w:fill="auto"/>
                  <w:noWrap/>
                  <w:vAlign w:val="center"/>
                </w:tcPr>
                <w:p w14:paraId="023E79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60.69</w:t>
                  </w:r>
                </w:p>
              </w:tc>
              <w:tc>
                <w:tcPr>
                  <w:tcW w:w="0" w:type="auto"/>
                  <w:shd w:val="clear" w:color="auto" w:fill="auto"/>
                  <w:noWrap/>
                  <w:vAlign w:val="center"/>
                </w:tcPr>
                <w:p w14:paraId="6809F4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543B0BD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084FF9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34.69</w:t>
                  </w:r>
                </w:p>
              </w:tc>
              <w:tc>
                <w:tcPr>
                  <w:tcW w:w="0" w:type="auto"/>
                  <w:shd w:val="clear" w:color="auto" w:fill="auto"/>
                  <w:noWrap/>
                  <w:vAlign w:val="center"/>
                </w:tcPr>
                <w:p w14:paraId="46848B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71AF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92675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43</w:t>
                  </w:r>
                </w:p>
              </w:tc>
              <w:tc>
                <w:tcPr>
                  <w:tcW w:w="0" w:type="auto"/>
                  <w:shd w:val="clear" w:color="auto" w:fill="auto"/>
                  <w:noWrap/>
                  <w:vAlign w:val="center"/>
                </w:tcPr>
                <w:p w14:paraId="2E71E5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15DE9E7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10EF5CE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30C4ED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F4F8BA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28D3E7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729091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2245FA9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7826304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75C895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14.04</w:t>
                  </w:r>
                </w:p>
              </w:tc>
              <w:tc>
                <w:tcPr>
                  <w:tcW w:w="0" w:type="auto"/>
                  <w:shd w:val="clear" w:color="auto" w:fill="auto"/>
                  <w:noWrap/>
                  <w:vAlign w:val="center"/>
                </w:tcPr>
                <w:p w14:paraId="2574D11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60.56</w:t>
                  </w:r>
                </w:p>
              </w:tc>
              <w:tc>
                <w:tcPr>
                  <w:tcW w:w="0" w:type="auto"/>
                  <w:shd w:val="clear" w:color="auto" w:fill="auto"/>
                  <w:noWrap/>
                  <w:vAlign w:val="center"/>
                </w:tcPr>
                <w:p w14:paraId="451B9A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6E47768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3EFC5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34.56</w:t>
                  </w:r>
                </w:p>
              </w:tc>
              <w:tc>
                <w:tcPr>
                  <w:tcW w:w="0" w:type="auto"/>
                  <w:shd w:val="clear" w:color="auto" w:fill="auto"/>
                  <w:noWrap/>
                  <w:vAlign w:val="center"/>
                </w:tcPr>
                <w:p w14:paraId="707C17F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FA5B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3E3E89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w:t>
                  </w:r>
                </w:p>
              </w:tc>
              <w:tc>
                <w:tcPr>
                  <w:tcW w:w="0" w:type="auto"/>
                  <w:shd w:val="clear" w:color="auto" w:fill="auto"/>
                  <w:noWrap/>
                  <w:vAlign w:val="center"/>
                </w:tcPr>
                <w:p w14:paraId="062E48C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477B68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7267735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D20AA8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76E39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433C4B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5733B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3D89839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6C6EE9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AAFFC8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17.52</w:t>
                  </w:r>
                </w:p>
              </w:tc>
              <w:tc>
                <w:tcPr>
                  <w:tcW w:w="0" w:type="auto"/>
                  <w:shd w:val="clear" w:color="auto" w:fill="auto"/>
                  <w:noWrap/>
                  <w:vAlign w:val="center"/>
                </w:tcPr>
                <w:p w14:paraId="766200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60.55</w:t>
                  </w:r>
                </w:p>
              </w:tc>
              <w:tc>
                <w:tcPr>
                  <w:tcW w:w="0" w:type="auto"/>
                  <w:shd w:val="clear" w:color="auto" w:fill="auto"/>
                  <w:noWrap/>
                  <w:vAlign w:val="center"/>
                </w:tcPr>
                <w:p w14:paraId="2B00A6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543A1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F71460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34.55</w:t>
                  </w:r>
                </w:p>
              </w:tc>
              <w:tc>
                <w:tcPr>
                  <w:tcW w:w="0" w:type="auto"/>
                  <w:shd w:val="clear" w:color="auto" w:fill="auto"/>
                  <w:noWrap/>
                  <w:vAlign w:val="center"/>
                </w:tcPr>
                <w:p w14:paraId="52AE27B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9352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78482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45</w:t>
                  </w:r>
                </w:p>
              </w:tc>
              <w:tc>
                <w:tcPr>
                  <w:tcW w:w="0" w:type="auto"/>
                  <w:shd w:val="clear" w:color="auto" w:fill="auto"/>
                  <w:noWrap/>
                  <w:vAlign w:val="center"/>
                </w:tcPr>
                <w:p w14:paraId="258995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37E3E1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66DFCFC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1D35A2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922861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6E37B42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8B78FE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6EB863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655B3CC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AD8572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29.56</w:t>
                  </w:r>
                </w:p>
              </w:tc>
              <w:tc>
                <w:tcPr>
                  <w:tcW w:w="0" w:type="auto"/>
                  <w:shd w:val="clear" w:color="auto" w:fill="auto"/>
                  <w:noWrap/>
                  <w:vAlign w:val="center"/>
                </w:tcPr>
                <w:p w14:paraId="7B8EF3D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60.54</w:t>
                  </w:r>
                </w:p>
              </w:tc>
              <w:tc>
                <w:tcPr>
                  <w:tcW w:w="0" w:type="auto"/>
                  <w:shd w:val="clear" w:color="auto" w:fill="auto"/>
                  <w:noWrap/>
                  <w:vAlign w:val="center"/>
                </w:tcPr>
                <w:p w14:paraId="123EEA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797B069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0DE6F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34.54</w:t>
                  </w:r>
                </w:p>
              </w:tc>
              <w:tc>
                <w:tcPr>
                  <w:tcW w:w="0" w:type="auto"/>
                  <w:shd w:val="clear" w:color="auto" w:fill="auto"/>
                  <w:noWrap/>
                  <w:vAlign w:val="center"/>
                </w:tcPr>
                <w:p w14:paraId="4653394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B817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34B8A9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w:t>
                  </w:r>
                </w:p>
              </w:tc>
              <w:tc>
                <w:tcPr>
                  <w:tcW w:w="0" w:type="auto"/>
                  <w:shd w:val="clear" w:color="auto" w:fill="auto"/>
                  <w:noWrap/>
                  <w:vAlign w:val="center"/>
                </w:tcPr>
                <w:p w14:paraId="109CC1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747750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0F2A942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0644E6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E947D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33EA777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AD1626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2DE729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34598F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B31DDF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4.49</w:t>
                  </w:r>
                </w:p>
              </w:tc>
              <w:tc>
                <w:tcPr>
                  <w:tcW w:w="0" w:type="auto"/>
                  <w:shd w:val="clear" w:color="auto" w:fill="auto"/>
                  <w:noWrap/>
                  <w:vAlign w:val="center"/>
                </w:tcPr>
                <w:p w14:paraId="48B263A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60.69</w:t>
                  </w:r>
                </w:p>
              </w:tc>
              <w:tc>
                <w:tcPr>
                  <w:tcW w:w="0" w:type="auto"/>
                  <w:shd w:val="clear" w:color="auto" w:fill="auto"/>
                  <w:noWrap/>
                  <w:vAlign w:val="center"/>
                </w:tcPr>
                <w:p w14:paraId="06A68D8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4CCAED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45E7CB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34.69</w:t>
                  </w:r>
                </w:p>
              </w:tc>
              <w:tc>
                <w:tcPr>
                  <w:tcW w:w="0" w:type="auto"/>
                  <w:shd w:val="clear" w:color="auto" w:fill="auto"/>
                  <w:noWrap/>
                  <w:vAlign w:val="center"/>
                </w:tcPr>
                <w:p w14:paraId="4C5F931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33D9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F34C2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47</w:t>
                  </w:r>
                </w:p>
              </w:tc>
              <w:tc>
                <w:tcPr>
                  <w:tcW w:w="0" w:type="auto"/>
                  <w:shd w:val="clear" w:color="auto" w:fill="auto"/>
                  <w:noWrap/>
                  <w:vAlign w:val="center"/>
                </w:tcPr>
                <w:p w14:paraId="07ED56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005B849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184C4F4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A1985E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6DEB3D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383A887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5BF361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60A833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2A6470A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EEEBC4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14.04</w:t>
                  </w:r>
                </w:p>
              </w:tc>
              <w:tc>
                <w:tcPr>
                  <w:tcW w:w="0" w:type="auto"/>
                  <w:shd w:val="clear" w:color="auto" w:fill="auto"/>
                  <w:noWrap/>
                  <w:vAlign w:val="center"/>
                </w:tcPr>
                <w:p w14:paraId="065613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60.56</w:t>
                  </w:r>
                </w:p>
              </w:tc>
              <w:tc>
                <w:tcPr>
                  <w:tcW w:w="0" w:type="auto"/>
                  <w:shd w:val="clear" w:color="auto" w:fill="auto"/>
                  <w:noWrap/>
                  <w:vAlign w:val="center"/>
                </w:tcPr>
                <w:p w14:paraId="4C927C1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005E3B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581A87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34.56</w:t>
                  </w:r>
                </w:p>
              </w:tc>
              <w:tc>
                <w:tcPr>
                  <w:tcW w:w="0" w:type="auto"/>
                  <w:shd w:val="clear" w:color="auto" w:fill="auto"/>
                  <w:noWrap/>
                  <w:vAlign w:val="center"/>
                </w:tcPr>
                <w:p w14:paraId="2C728F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831A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B6F36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48</w:t>
                  </w:r>
                </w:p>
              </w:tc>
              <w:tc>
                <w:tcPr>
                  <w:tcW w:w="0" w:type="auto"/>
                  <w:shd w:val="clear" w:color="auto" w:fill="auto"/>
                  <w:noWrap/>
                  <w:vAlign w:val="center"/>
                </w:tcPr>
                <w:p w14:paraId="6EB295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5FED80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成品筛分机</w:t>
                  </w:r>
                </w:p>
              </w:tc>
              <w:tc>
                <w:tcPr>
                  <w:tcW w:w="0" w:type="auto"/>
                  <w:shd w:val="clear" w:color="auto" w:fill="auto"/>
                  <w:noWrap/>
                  <w:vAlign w:val="center"/>
                </w:tcPr>
                <w:p w14:paraId="4C0903B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409389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107FA5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85D238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BD4CCA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270.77</w:t>
                  </w:r>
                </w:p>
              </w:tc>
              <w:tc>
                <w:tcPr>
                  <w:tcW w:w="0" w:type="auto"/>
                  <w:shd w:val="clear" w:color="auto" w:fill="auto"/>
                  <w:noWrap/>
                  <w:vAlign w:val="center"/>
                </w:tcPr>
                <w:p w14:paraId="4426A07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214.17</w:t>
                  </w:r>
                </w:p>
              </w:tc>
              <w:tc>
                <w:tcPr>
                  <w:tcW w:w="0" w:type="auto"/>
                  <w:shd w:val="clear" w:color="auto" w:fill="auto"/>
                  <w:noWrap/>
                  <w:vAlign w:val="center"/>
                </w:tcPr>
                <w:p w14:paraId="17CE2FF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3F8015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17.52</w:t>
                  </w:r>
                </w:p>
              </w:tc>
              <w:tc>
                <w:tcPr>
                  <w:tcW w:w="0" w:type="auto"/>
                  <w:shd w:val="clear" w:color="auto" w:fill="auto"/>
                  <w:noWrap/>
                  <w:vAlign w:val="center"/>
                </w:tcPr>
                <w:p w14:paraId="7695EEF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60.55</w:t>
                  </w:r>
                </w:p>
              </w:tc>
              <w:tc>
                <w:tcPr>
                  <w:tcW w:w="0" w:type="auto"/>
                  <w:shd w:val="clear" w:color="auto" w:fill="auto"/>
                  <w:noWrap/>
                  <w:vAlign w:val="center"/>
                </w:tcPr>
                <w:p w14:paraId="48A0A0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0C3A46B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CCDB68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34.55</w:t>
                  </w:r>
                </w:p>
              </w:tc>
              <w:tc>
                <w:tcPr>
                  <w:tcW w:w="0" w:type="auto"/>
                  <w:shd w:val="clear" w:color="auto" w:fill="auto"/>
                  <w:noWrap/>
                  <w:vAlign w:val="center"/>
                </w:tcPr>
                <w:p w14:paraId="0A78529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9F11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0FC6DE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49</w:t>
                  </w:r>
                </w:p>
              </w:tc>
              <w:tc>
                <w:tcPr>
                  <w:tcW w:w="0" w:type="auto"/>
                  <w:shd w:val="clear" w:color="auto" w:fill="auto"/>
                  <w:noWrap/>
                  <w:vAlign w:val="center"/>
                </w:tcPr>
                <w:p w14:paraId="2162453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37C393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7886A18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4B2C61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B51B8A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C51FF5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7D599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16D4D4A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203E58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BDA80E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22.67</w:t>
                  </w:r>
                </w:p>
              </w:tc>
              <w:tc>
                <w:tcPr>
                  <w:tcW w:w="0" w:type="auto"/>
                  <w:shd w:val="clear" w:color="auto" w:fill="auto"/>
                  <w:noWrap/>
                  <w:vAlign w:val="center"/>
                </w:tcPr>
                <w:p w14:paraId="6E9018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3949FC5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18F1B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FEDA9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698872D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EE84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B5A1D9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0" w:type="auto"/>
                  <w:shd w:val="clear" w:color="auto" w:fill="auto"/>
                  <w:noWrap/>
                  <w:vAlign w:val="center"/>
                </w:tcPr>
                <w:p w14:paraId="2A25A03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2F1F818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4B2BF0B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7364DC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A2772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ABB8F2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21DF37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397C8B8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3ED9CDE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AFF5F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4.61</w:t>
                  </w:r>
                </w:p>
              </w:tc>
              <w:tc>
                <w:tcPr>
                  <w:tcW w:w="0" w:type="auto"/>
                  <w:shd w:val="clear" w:color="auto" w:fill="auto"/>
                  <w:noWrap/>
                  <w:vAlign w:val="center"/>
                </w:tcPr>
                <w:p w14:paraId="53F1FF8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65.68</w:t>
                  </w:r>
                </w:p>
              </w:tc>
              <w:tc>
                <w:tcPr>
                  <w:tcW w:w="0" w:type="auto"/>
                  <w:shd w:val="clear" w:color="auto" w:fill="auto"/>
                  <w:noWrap/>
                  <w:vAlign w:val="center"/>
                </w:tcPr>
                <w:p w14:paraId="266B12A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520D4E2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56F8EB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39.68</w:t>
                  </w:r>
                </w:p>
              </w:tc>
              <w:tc>
                <w:tcPr>
                  <w:tcW w:w="0" w:type="auto"/>
                  <w:shd w:val="clear" w:color="auto" w:fill="auto"/>
                  <w:noWrap/>
                  <w:vAlign w:val="center"/>
                </w:tcPr>
                <w:p w14:paraId="3CE77EA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D82B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D19960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51</w:t>
                  </w:r>
                </w:p>
              </w:tc>
              <w:tc>
                <w:tcPr>
                  <w:tcW w:w="0" w:type="auto"/>
                  <w:shd w:val="clear" w:color="auto" w:fill="auto"/>
                  <w:noWrap/>
                  <w:vAlign w:val="center"/>
                </w:tcPr>
                <w:p w14:paraId="752616F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57772C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4AC938E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93D0E6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A30B4E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0870CF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27564A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19F74F1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33AE648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99490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20.94</w:t>
                  </w:r>
                </w:p>
              </w:tc>
              <w:tc>
                <w:tcPr>
                  <w:tcW w:w="0" w:type="auto"/>
                  <w:shd w:val="clear" w:color="auto" w:fill="auto"/>
                  <w:noWrap/>
                  <w:vAlign w:val="center"/>
                </w:tcPr>
                <w:p w14:paraId="0C42B3A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39ADCE8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166871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E286F0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3C2D72C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B73D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2BB7D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52</w:t>
                  </w:r>
                </w:p>
              </w:tc>
              <w:tc>
                <w:tcPr>
                  <w:tcW w:w="0" w:type="auto"/>
                  <w:shd w:val="clear" w:color="auto" w:fill="auto"/>
                  <w:noWrap/>
                  <w:vAlign w:val="center"/>
                </w:tcPr>
                <w:p w14:paraId="55530B5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AD630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5A53D66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22262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5EFBEE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13277E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5A89E2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05A4C5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3015B86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1AC4FC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17.18</w:t>
                  </w:r>
                </w:p>
              </w:tc>
              <w:tc>
                <w:tcPr>
                  <w:tcW w:w="0" w:type="auto"/>
                  <w:shd w:val="clear" w:color="auto" w:fill="auto"/>
                  <w:noWrap/>
                  <w:vAlign w:val="center"/>
                </w:tcPr>
                <w:p w14:paraId="563C31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7D5DDE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AF79C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014D86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7107E3C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884C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052163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53</w:t>
                  </w:r>
                </w:p>
              </w:tc>
              <w:tc>
                <w:tcPr>
                  <w:tcW w:w="0" w:type="auto"/>
                  <w:shd w:val="clear" w:color="auto" w:fill="auto"/>
                  <w:noWrap/>
                  <w:vAlign w:val="center"/>
                </w:tcPr>
                <w:p w14:paraId="77EAD0E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11831F7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7177452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FDABAE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19CA3A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C42FA7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B15300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0905C7D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3532346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07074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22.67</w:t>
                  </w:r>
                </w:p>
              </w:tc>
              <w:tc>
                <w:tcPr>
                  <w:tcW w:w="0" w:type="auto"/>
                  <w:shd w:val="clear" w:color="auto" w:fill="auto"/>
                  <w:noWrap/>
                  <w:vAlign w:val="center"/>
                </w:tcPr>
                <w:p w14:paraId="0BFDDB9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5943FA5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726F46F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4A6D8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4DB1E9C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D39F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034DC2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54</w:t>
                  </w:r>
                </w:p>
              </w:tc>
              <w:tc>
                <w:tcPr>
                  <w:tcW w:w="0" w:type="auto"/>
                  <w:shd w:val="clear" w:color="auto" w:fill="auto"/>
                  <w:noWrap/>
                  <w:vAlign w:val="center"/>
                </w:tcPr>
                <w:p w14:paraId="729BF25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0DABCC9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728C32F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3DE5BB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F2982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8AEE4C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0F8645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46569F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56620E0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28557D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4.61</w:t>
                  </w:r>
                </w:p>
              </w:tc>
              <w:tc>
                <w:tcPr>
                  <w:tcW w:w="0" w:type="auto"/>
                  <w:shd w:val="clear" w:color="auto" w:fill="auto"/>
                  <w:noWrap/>
                  <w:vAlign w:val="center"/>
                </w:tcPr>
                <w:p w14:paraId="3D86EA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65.68</w:t>
                  </w:r>
                </w:p>
              </w:tc>
              <w:tc>
                <w:tcPr>
                  <w:tcW w:w="0" w:type="auto"/>
                  <w:shd w:val="clear" w:color="auto" w:fill="auto"/>
                  <w:noWrap/>
                  <w:vAlign w:val="center"/>
                </w:tcPr>
                <w:p w14:paraId="219EB67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143643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20507C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39.68</w:t>
                  </w:r>
                </w:p>
              </w:tc>
              <w:tc>
                <w:tcPr>
                  <w:tcW w:w="0" w:type="auto"/>
                  <w:shd w:val="clear" w:color="auto" w:fill="auto"/>
                  <w:noWrap/>
                  <w:vAlign w:val="center"/>
                </w:tcPr>
                <w:p w14:paraId="16C5B6C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B3FC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5FBB0B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55</w:t>
                  </w:r>
                </w:p>
              </w:tc>
              <w:tc>
                <w:tcPr>
                  <w:tcW w:w="0" w:type="auto"/>
                  <w:shd w:val="clear" w:color="auto" w:fill="auto"/>
                  <w:noWrap/>
                  <w:vAlign w:val="center"/>
                </w:tcPr>
                <w:p w14:paraId="600398D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F04D5A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03BE64D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6CB724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1BC8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AA8EAA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2AF834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34D9E09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104AC77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7C3A8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20.94</w:t>
                  </w:r>
                </w:p>
              </w:tc>
              <w:tc>
                <w:tcPr>
                  <w:tcW w:w="0" w:type="auto"/>
                  <w:shd w:val="clear" w:color="auto" w:fill="auto"/>
                  <w:noWrap/>
                  <w:vAlign w:val="center"/>
                </w:tcPr>
                <w:p w14:paraId="025763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2B0F747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70DD8B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E4858D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6641B7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34DB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C5D612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56</w:t>
                  </w:r>
                </w:p>
              </w:tc>
              <w:tc>
                <w:tcPr>
                  <w:tcW w:w="0" w:type="auto"/>
                  <w:shd w:val="clear" w:color="auto" w:fill="auto"/>
                  <w:noWrap/>
                  <w:vAlign w:val="center"/>
                </w:tcPr>
                <w:p w14:paraId="0B9E603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A70AE1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成品筛分风机</w:t>
                  </w:r>
                </w:p>
              </w:tc>
              <w:tc>
                <w:tcPr>
                  <w:tcW w:w="0" w:type="auto"/>
                  <w:shd w:val="clear" w:color="auto" w:fill="auto"/>
                  <w:noWrap/>
                  <w:vAlign w:val="center"/>
                </w:tcPr>
                <w:p w14:paraId="2766888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2E6796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FADDB5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30E04EE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1325E3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264.38</w:t>
                  </w:r>
                </w:p>
              </w:tc>
              <w:tc>
                <w:tcPr>
                  <w:tcW w:w="0" w:type="auto"/>
                  <w:shd w:val="clear" w:color="auto" w:fill="auto"/>
                  <w:noWrap/>
                  <w:vAlign w:val="center"/>
                </w:tcPr>
                <w:p w14:paraId="0D2D51E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211.57</w:t>
                  </w:r>
                </w:p>
              </w:tc>
              <w:tc>
                <w:tcPr>
                  <w:tcW w:w="0" w:type="auto"/>
                  <w:shd w:val="clear" w:color="auto" w:fill="auto"/>
                  <w:noWrap/>
                  <w:vAlign w:val="center"/>
                </w:tcPr>
                <w:p w14:paraId="6F8BF3F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921BCA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17.18</w:t>
                  </w:r>
                </w:p>
              </w:tc>
              <w:tc>
                <w:tcPr>
                  <w:tcW w:w="0" w:type="auto"/>
                  <w:shd w:val="clear" w:color="auto" w:fill="auto"/>
                  <w:noWrap/>
                  <w:vAlign w:val="center"/>
                </w:tcPr>
                <w:p w14:paraId="6E1ED9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5452F54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13E3FE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F0E170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0DE3D21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4F5D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06374E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57</w:t>
                  </w:r>
                </w:p>
              </w:tc>
              <w:tc>
                <w:tcPr>
                  <w:tcW w:w="0" w:type="auto"/>
                  <w:shd w:val="clear" w:color="auto" w:fill="auto"/>
                  <w:noWrap/>
                  <w:vAlign w:val="center"/>
                </w:tcPr>
                <w:p w14:paraId="5718ED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2C3389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4C06AB5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721EE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A3DF34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4087A8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01166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267B68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345BE8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5960D8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19.07</w:t>
                  </w:r>
                </w:p>
              </w:tc>
              <w:tc>
                <w:tcPr>
                  <w:tcW w:w="0" w:type="auto"/>
                  <w:shd w:val="clear" w:color="auto" w:fill="auto"/>
                  <w:noWrap/>
                  <w:vAlign w:val="center"/>
                </w:tcPr>
                <w:p w14:paraId="6A3624C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62E77C7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6EAB35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C53D6B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13467EB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20C0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8BD791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58</w:t>
                  </w:r>
                </w:p>
              </w:tc>
              <w:tc>
                <w:tcPr>
                  <w:tcW w:w="0" w:type="auto"/>
                  <w:shd w:val="clear" w:color="auto" w:fill="auto"/>
                  <w:noWrap/>
                  <w:vAlign w:val="center"/>
                </w:tcPr>
                <w:p w14:paraId="5D6E958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E4430D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0DE980C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192FA5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354F5C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47F947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0D31AE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4F25107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0ECBE57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E0BD5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13.41</w:t>
                  </w:r>
                </w:p>
              </w:tc>
              <w:tc>
                <w:tcPr>
                  <w:tcW w:w="0" w:type="auto"/>
                  <w:shd w:val="clear" w:color="auto" w:fill="auto"/>
                  <w:noWrap/>
                  <w:vAlign w:val="center"/>
                </w:tcPr>
                <w:p w14:paraId="0F91FE9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65.56</w:t>
                  </w:r>
                </w:p>
              </w:tc>
              <w:tc>
                <w:tcPr>
                  <w:tcW w:w="0" w:type="auto"/>
                  <w:shd w:val="clear" w:color="auto" w:fill="auto"/>
                  <w:noWrap/>
                  <w:vAlign w:val="center"/>
                </w:tcPr>
                <w:p w14:paraId="1DD0756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A66A5E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D06AA6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39.56</w:t>
                  </w:r>
                </w:p>
              </w:tc>
              <w:tc>
                <w:tcPr>
                  <w:tcW w:w="0" w:type="auto"/>
                  <w:shd w:val="clear" w:color="auto" w:fill="auto"/>
                  <w:noWrap/>
                  <w:vAlign w:val="center"/>
                </w:tcPr>
                <w:p w14:paraId="5FCE840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3873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77CCFE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w:t>
                  </w:r>
                </w:p>
              </w:tc>
              <w:tc>
                <w:tcPr>
                  <w:tcW w:w="0" w:type="auto"/>
                  <w:shd w:val="clear" w:color="auto" w:fill="auto"/>
                  <w:noWrap/>
                  <w:vAlign w:val="center"/>
                </w:tcPr>
                <w:p w14:paraId="31E225C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12622C0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0052C38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4593A1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759FC8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700A01A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895175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495ECF5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7463CDA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B4B124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25.11</w:t>
                  </w:r>
                </w:p>
              </w:tc>
              <w:tc>
                <w:tcPr>
                  <w:tcW w:w="0" w:type="auto"/>
                  <w:shd w:val="clear" w:color="auto" w:fill="auto"/>
                  <w:noWrap/>
                  <w:vAlign w:val="center"/>
                </w:tcPr>
                <w:p w14:paraId="32B3A9F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65.54</w:t>
                  </w:r>
                </w:p>
              </w:tc>
              <w:tc>
                <w:tcPr>
                  <w:tcW w:w="0" w:type="auto"/>
                  <w:shd w:val="clear" w:color="auto" w:fill="auto"/>
                  <w:noWrap/>
                  <w:vAlign w:val="center"/>
                </w:tcPr>
                <w:p w14:paraId="43232E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6A80FE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98761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39.54</w:t>
                  </w:r>
                </w:p>
              </w:tc>
              <w:tc>
                <w:tcPr>
                  <w:tcW w:w="0" w:type="auto"/>
                  <w:shd w:val="clear" w:color="auto" w:fill="auto"/>
                  <w:noWrap/>
                  <w:vAlign w:val="center"/>
                </w:tcPr>
                <w:p w14:paraId="7CC005C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4236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32933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w:t>
                  </w:r>
                </w:p>
              </w:tc>
              <w:tc>
                <w:tcPr>
                  <w:tcW w:w="0" w:type="auto"/>
                  <w:shd w:val="clear" w:color="auto" w:fill="auto"/>
                  <w:noWrap/>
                  <w:vAlign w:val="center"/>
                </w:tcPr>
                <w:p w14:paraId="6865D7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7EE7803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1E52425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6154FE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017BA6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A1E154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DA8433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4002F20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324E6C5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A36182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8.26</w:t>
                  </w:r>
                </w:p>
              </w:tc>
              <w:tc>
                <w:tcPr>
                  <w:tcW w:w="0" w:type="auto"/>
                  <w:shd w:val="clear" w:color="auto" w:fill="auto"/>
                  <w:noWrap/>
                  <w:vAlign w:val="center"/>
                </w:tcPr>
                <w:p w14:paraId="66CF537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65.58</w:t>
                  </w:r>
                </w:p>
              </w:tc>
              <w:tc>
                <w:tcPr>
                  <w:tcW w:w="0" w:type="auto"/>
                  <w:shd w:val="clear" w:color="auto" w:fill="auto"/>
                  <w:noWrap/>
                  <w:vAlign w:val="center"/>
                </w:tcPr>
                <w:p w14:paraId="293D38E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D2DD7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BF0C87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39.58</w:t>
                  </w:r>
                </w:p>
              </w:tc>
              <w:tc>
                <w:tcPr>
                  <w:tcW w:w="0" w:type="auto"/>
                  <w:shd w:val="clear" w:color="auto" w:fill="auto"/>
                  <w:noWrap/>
                  <w:vAlign w:val="center"/>
                </w:tcPr>
                <w:p w14:paraId="378EBCF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394A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30DA5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61</w:t>
                  </w:r>
                </w:p>
              </w:tc>
              <w:tc>
                <w:tcPr>
                  <w:tcW w:w="0" w:type="auto"/>
                  <w:shd w:val="clear" w:color="auto" w:fill="auto"/>
                  <w:noWrap/>
                  <w:vAlign w:val="center"/>
                </w:tcPr>
                <w:p w14:paraId="446AAF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2DC758C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1CDF948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339BE3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EB876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C85CAC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32FB20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315E95A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1EE5CB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E798F7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19.07</w:t>
                  </w:r>
                </w:p>
              </w:tc>
              <w:tc>
                <w:tcPr>
                  <w:tcW w:w="0" w:type="auto"/>
                  <w:shd w:val="clear" w:color="auto" w:fill="auto"/>
                  <w:noWrap/>
                  <w:vAlign w:val="center"/>
                </w:tcPr>
                <w:p w14:paraId="1864E3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23F0D96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3860AB7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60479C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5DA11F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FDC0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56DC6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62</w:t>
                  </w:r>
                </w:p>
              </w:tc>
              <w:tc>
                <w:tcPr>
                  <w:tcW w:w="0" w:type="auto"/>
                  <w:shd w:val="clear" w:color="auto" w:fill="auto"/>
                  <w:noWrap/>
                  <w:vAlign w:val="center"/>
                </w:tcPr>
                <w:p w14:paraId="51AFD5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3FAE1D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5E1EFC2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C67FE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3F4CA1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6A1CD4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78AD86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46C748E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72292A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13A80C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13.41</w:t>
                  </w:r>
                </w:p>
              </w:tc>
              <w:tc>
                <w:tcPr>
                  <w:tcW w:w="0" w:type="auto"/>
                  <w:shd w:val="clear" w:color="auto" w:fill="auto"/>
                  <w:noWrap/>
                  <w:vAlign w:val="center"/>
                </w:tcPr>
                <w:p w14:paraId="010A2B3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65.56</w:t>
                  </w:r>
                </w:p>
              </w:tc>
              <w:tc>
                <w:tcPr>
                  <w:tcW w:w="0" w:type="auto"/>
                  <w:shd w:val="clear" w:color="auto" w:fill="auto"/>
                  <w:noWrap/>
                  <w:vAlign w:val="center"/>
                </w:tcPr>
                <w:p w14:paraId="5191240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15A6CDD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96E71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39.56</w:t>
                  </w:r>
                </w:p>
              </w:tc>
              <w:tc>
                <w:tcPr>
                  <w:tcW w:w="0" w:type="auto"/>
                  <w:shd w:val="clear" w:color="auto" w:fill="auto"/>
                  <w:noWrap/>
                  <w:vAlign w:val="center"/>
                </w:tcPr>
                <w:p w14:paraId="0D9322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68CB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6C1435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63</w:t>
                  </w:r>
                </w:p>
              </w:tc>
              <w:tc>
                <w:tcPr>
                  <w:tcW w:w="0" w:type="auto"/>
                  <w:shd w:val="clear" w:color="auto" w:fill="auto"/>
                  <w:noWrap/>
                  <w:vAlign w:val="center"/>
                </w:tcPr>
                <w:p w14:paraId="723E973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558B68B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001CD2D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0CC0CE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754B55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32D8204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8E9CC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7B116A1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57DA2AD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86163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25.11</w:t>
                  </w:r>
                </w:p>
              </w:tc>
              <w:tc>
                <w:tcPr>
                  <w:tcW w:w="0" w:type="auto"/>
                  <w:shd w:val="clear" w:color="auto" w:fill="auto"/>
                  <w:noWrap/>
                  <w:vAlign w:val="center"/>
                </w:tcPr>
                <w:p w14:paraId="2E40D37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65.54</w:t>
                  </w:r>
                </w:p>
              </w:tc>
              <w:tc>
                <w:tcPr>
                  <w:tcW w:w="0" w:type="auto"/>
                  <w:shd w:val="clear" w:color="auto" w:fill="auto"/>
                  <w:noWrap/>
                  <w:vAlign w:val="center"/>
                </w:tcPr>
                <w:p w14:paraId="67B0374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6DC0F98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7243EF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39.54</w:t>
                  </w:r>
                </w:p>
              </w:tc>
              <w:tc>
                <w:tcPr>
                  <w:tcW w:w="0" w:type="auto"/>
                  <w:shd w:val="clear" w:color="auto" w:fill="auto"/>
                  <w:noWrap/>
                  <w:vAlign w:val="center"/>
                </w:tcPr>
                <w:p w14:paraId="7CFC91B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9B0D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47071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w:t>
                  </w:r>
                </w:p>
              </w:tc>
              <w:tc>
                <w:tcPr>
                  <w:tcW w:w="0" w:type="auto"/>
                  <w:shd w:val="clear" w:color="auto" w:fill="auto"/>
                  <w:noWrap/>
                  <w:vAlign w:val="center"/>
                </w:tcPr>
                <w:p w14:paraId="125CDC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2775B99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筒仓1风机</w:t>
                  </w:r>
                </w:p>
              </w:tc>
              <w:tc>
                <w:tcPr>
                  <w:tcW w:w="0" w:type="auto"/>
                  <w:shd w:val="clear" w:color="auto" w:fill="auto"/>
                  <w:noWrap/>
                  <w:vAlign w:val="center"/>
                </w:tcPr>
                <w:p w14:paraId="268E692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F8DFAE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5ADC65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E8AEF8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32D08C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257.26</w:t>
                  </w:r>
                </w:p>
              </w:tc>
              <w:tc>
                <w:tcPr>
                  <w:tcW w:w="0" w:type="auto"/>
                  <w:shd w:val="clear" w:color="auto" w:fill="auto"/>
                  <w:noWrap/>
                  <w:vAlign w:val="center"/>
                </w:tcPr>
                <w:p w14:paraId="6B45808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218.09</w:t>
                  </w:r>
                </w:p>
              </w:tc>
              <w:tc>
                <w:tcPr>
                  <w:tcW w:w="0" w:type="auto"/>
                  <w:shd w:val="clear" w:color="auto" w:fill="auto"/>
                  <w:noWrap/>
                  <w:vAlign w:val="center"/>
                </w:tcPr>
                <w:p w14:paraId="145E1C9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3820BA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8.26</w:t>
                  </w:r>
                </w:p>
              </w:tc>
              <w:tc>
                <w:tcPr>
                  <w:tcW w:w="0" w:type="auto"/>
                  <w:shd w:val="clear" w:color="auto" w:fill="auto"/>
                  <w:noWrap/>
                  <w:vAlign w:val="center"/>
                </w:tcPr>
                <w:p w14:paraId="250346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65.58</w:t>
                  </w:r>
                </w:p>
              </w:tc>
              <w:tc>
                <w:tcPr>
                  <w:tcW w:w="0" w:type="auto"/>
                  <w:shd w:val="clear" w:color="auto" w:fill="auto"/>
                  <w:noWrap/>
                  <w:vAlign w:val="center"/>
                </w:tcPr>
                <w:p w14:paraId="46776B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24955A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0AA681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39.58</w:t>
                  </w:r>
                </w:p>
              </w:tc>
              <w:tc>
                <w:tcPr>
                  <w:tcW w:w="0" w:type="auto"/>
                  <w:shd w:val="clear" w:color="auto" w:fill="auto"/>
                  <w:noWrap/>
                  <w:vAlign w:val="center"/>
                </w:tcPr>
                <w:p w14:paraId="7C2937A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9B63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12DF7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w:t>
                  </w:r>
                </w:p>
              </w:tc>
              <w:tc>
                <w:tcPr>
                  <w:tcW w:w="0" w:type="auto"/>
                  <w:shd w:val="clear" w:color="auto" w:fill="auto"/>
                  <w:noWrap/>
                  <w:vAlign w:val="center"/>
                </w:tcPr>
                <w:p w14:paraId="0F13E9F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1BD1E6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37E0A3E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3DFE3F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36A247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E99AF6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3AF0C3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54A709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0991A0B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3CAD70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29.79</w:t>
                  </w:r>
                </w:p>
              </w:tc>
              <w:tc>
                <w:tcPr>
                  <w:tcW w:w="0" w:type="auto"/>
                  <w:shd w:val="clear" w:color="auto" w:fill="auto"/>
                  <w:noWrap/>
                  <w:vAlign w:val="center"/>
                </w:tcPr>
                <w:p w14:paraId="128A8D8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65.54</w:t>
                  </w:r>
                </w:p>
              </w:tc>
              <w:tc>
                <w:tcPr>
                  <w:tcW w:w="0" w:type="auto"/>
                  <w:shd w:val="clear" w:color="auto" w:fill="auto"/>
                  <w:noWrap/>
                  <w:vAlign w:val="center"/>
                </w:tcPr>
                <w:p w14:paraId="0032DD7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108B63E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9C5EE2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39.54</w:t>
                  </w:r>
                </w:p>
              </w:tc>
              <w:tc>
                <w:tcPr>
                  <w:tcW w:w="0" w:type="auto"/>
                  <w:shd w:val="clear" w:color="auto" w:fill="auto"/>
                  <w:noWrap/>
                  <w:vAlign w:val="center"/>
                </w:tcPr>
                <w:p w14:paraId="017981A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B853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86B59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0" w:type="auto"/>
                  <w:shd w:val="clear" w:color="auto" w:fill="auto"/>
                  <w:noWrap/>
                  <w:vAlign w:val="center"/>
                </w:tcPr>
                <w:p w14:paraId="3DCEAD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418BD9E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593DAB0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45C1DB8">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251A3A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C26419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2172BD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62DFFB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071033D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9E589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13.15</w:t>
                  </w:r>
                </w:p>
              </w:tc>
              <w:tc>
                <w:tcPr>
                  <w:tcW w:w="0" w:type="auto"/>
                  <w:shd w:val="clear" w:color="auto" w:fill="auto"/>
                  <w:noWrap/>
                  <w:vAlign w:val="center"/>
                </w:tcPr>
                <w:p w14:paraId="69132ED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65.56</w:t>
                  </w:r>
                </w:p>
              </w:tc>
              <w:tc>
                <w:tcPr>
                  <w:tcW w:w="0" w:type="auto"/>
                  <w:shd w:val="clear" w:color="auto" w:fill="auto"/>
                  <w:noWrap/>
                  <w:vAlign w:val="center"/>
                </w:tcPr>
                <w:p w14:paraId="78D664C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2AAC7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542367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39.56</w:t>
                  </w:r>
                </w:p>
              </w:tc>
              <w:tc>
                <w:tcPr>
                  <w:tcW w:w="0" w:type="auto"/>
                  <w:shd w:val="clear" w:color="auto" w:fill="auto"/>
                  <w:noWrap/>
                  <w:vAlign w:val="center"/>
                </w:tcPr>
                <w:p w14:paraId="1E4642B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9BF7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2562131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67</w:t>
                  </w:r>
                </w:p>
              </w:tc>
              <w:tc>
                <w:tcPr>
                  <w:tcW w:w="0" w:type="auto"/>
                  <w:shd w:val="clear" w:color="auto" w:fill="auto"/>
                  <w:noWrap/>
                  <w:vAlign w:val="center"/>
                </w:tcPr>
                <w:p w14:paraId="29781B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6191FD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7A4F036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D50241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E94152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25A1F9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7E0AC2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098A41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2FF65F0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7CDD7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14.36</w:t>
                  </w:r>
                </w:p>
              </w:tc>
              <w:tc>
                <w:tcPr>
                  <w:tcW w:w="0" w:type="auto"/>
                  <w:shd w:val="clear" w:color="auto" w:fill="auto"/>
                  <w:noWrap/>
                  <w:vAlign w:val="center"/>
                </w:tcPr>
                <w:p w14:paraId="569F271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03C28C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17D27F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0DE39D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6D9E52F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D93E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70031C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68</w:t>
                  </w:r>
                </w:p>
              </w:tc>
              <w:tc>
                <w:tcPr>
                  <w:tcW w:w="0" w:type="auto"/>
                  <w:shd w:val="clear" w:color="auto" w:fill="auto"/>
                  <w:noWrap/>
                  <w:vAlign w:val="center"/>
                </w:tcPr>
                <w:p w14:paraId="126608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72679A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75161DE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326C15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B590D7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3E30802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14C19F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0905EB4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028FC79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066298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8.86</w:t>
                  </w:r>
                </w:p>
              </w:tc>
              <w:tc>
                <w:tcPr>
                  <w:tcW w:w="0" w:type="auto"/>
                  <w:shd w:val="clear" w:color="auto" w:fill="auto"/>
                  <w:noWrap/>
                  <w:vAlign w:val="center"/>
                </w:tcPr>
                <w:p w14:paraId="31D7B6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65.58</w:t>
                  </w:r>
                </w:p>
              </w:tc>
              <w:tc>
                <w:tcPr>
                  <w:tcW w:w="0" w:type="auto"/>
                  <w:shd w:val="clear" w:color="auto" w:fill="auto"/>
                  <w:noWrap/>
                  <w:vAlign w:val="center"/>
                </w:tcPr>
                <w:p w14:paraId="0CE624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87B854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20676D1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39.58</w:t>
                  </w:r>
                </w:p>
              </w:tc>
              <w:tc>
                <w:tcPr>
                  <w:tcW w:w="0" w:type="auto"/>
                  <w:shd w:val="clear" w:color="auto" w:fill="auto"/>
                  <w:noWrap/>
                  <w:vAlign w:val="center"/>
                </w:tcPr>
                <w:p w14:paraId="40DCB74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1AF0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DE417D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w:t>
                  </w:r>
                </w:p>
              </w:tc>
              <w:tc>
                <w:tcPr>
                  <w:tcW w:w="0" w:type="auto"/>
                  <w:shd w:val="clear" w:color="auto" w:fill="auto"/>
                  <w:noWrap/>
                  <w:vAlign w:val="center"/>
                </w:tcPr>
                <w:p w14:paraId="157531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59F0EA0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14AE26D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F754FB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D37AF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15A7648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FF9FD1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6D42408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7A935C3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725A8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29.79</w:t>
                  </w:r>
                </w:p>
              </w:tc>
              <w:tc>
                <w:tcPr>
                  <w:tcW w:w="0" w:type="auto"/>
                  <w:shd w:val="clear" w:color="auto" w:fill="auto"/>
                  <w:noWrap/>
                  <w:vAlign w:val="center"/>
                </w:tcPr>
                <w:p w14:paraId="6FF86D0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65.54</w:t>
                  </w:r>
                </w:p>
              </w:tc>
              <w:tc>
                <w:tcPr>
                  <w:tcW w:w="0" w:type="auto"/>
                  <w:shd w:val="clear" w:color="auto" w:fill="auto"/>
                  <w:noWrap/>
                  <w:vAlign w:val="center"/>
                </w:tcPr>
                <w:p w14:paraId="763AA2C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6B62FBD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81DE8F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39.54</w:t>
                  </w:r>
                </w:p>
              </w:tc>
              <w:tc>
                <w:tcPr>
                  <w:tcW w:w="0" w:type="auto"/>
                  <w:shd w:val="clear" w:color="auto" w:fill="auto"/>
                  <w:noWrap/>
                  <w:vAlign w:val="center"/>
                </w:tcPr>
                <w:p w14:paraId="2A30BE2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F082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707DB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A42C1E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5A1A14F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0A5D11E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F2DDDB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15619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25B7A32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98CC8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5333BBC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76E406A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860CD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13.15</w:t>
                  </w:r>
                </w:p>
              </w:tc>
              <w:tc>
                <w:tcPr>
                  <w:tcW w:w="0" w:type="auto"/>
                  <w:shd w:val="clear" w:color="auto" w:fill="auto"/>
                  <w:noWrap/>
                  <w:vAlign w:val="center"/>
                </w:tcPr>
                <w:p w14:paraId="4555EE9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65.56</w:t>
                  </w:r>
                </w:p>
              </w:tc>
              <w:tc>
                <w:tcPr>
                  <w:tcW w:w="0" w:type="auto"/>
                  <w:shd w:val="clear" w:color="auto" w:fill="auto"/>
                  <w:noWrap/>
                  <w:vAlign w:val="center"/>
                </w:tcPr>
                <w:p w14:paraId="0913125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2086CBB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673BB40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39.56</w:t>
                  </w:r>
                </w:p>
              </w:tc>
              <w:tc>
                <w:tcPr>
                  <w:tcW w:w="0" w:type="auto"/>
                  <w:shd w:val="clear" w:color="auto" w:fill="auto"/>
                  <w:noWrap/>
                  <w:vAlign w:val="center"/>
                </w:tcPr>
                <w:p w14:paraId="5ED8C02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07EA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182000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71</w:t>
                  </w:r>
                </w:p>
              </w:tc>
              <w:tc>
                <w:tcPr>
                  <w:tcW w:w="0" w:type="auto"/>
                  <w:shd w:val="clear" w:color="auto" w:fill="auto"/>
                  <w:noWrap/>
                  <w:vAlign w:val="center"/>
                </w:tcPr>
                <w:p w14:paraId="65BCFF5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68F8DB1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6933BFF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F9E60B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D0CEF9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2B9A0F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2E88AB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090FD2F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4B5C277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A2497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14.36</w:t>
                  </w:r>
                </w:p>
              </w:tc>
              <w:tc>
                <w:tcPr>
                  <w:tcW w:w="0" w:type="auto"/>
                  <w:shd w:val="clear" w:color="auto" w:fill="auto"/>
                  <w:noWrap/>
                  <w:vAlign w:val="center"/>
                </w:tcPr>
                <w:p w14:paraId="406F9CD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65.55</w:t>
                  </w:r>
                </w:p>
              </w:tc>
              <w:tc>
                <w:tcPr>
                  <w:tcW w:w="0" w:type="auto"/>
                  <w:shd w:val="clear" w:color="auto" w:fill="auto"/>
                  <w:noWrap/>
                  <w:vAlign w:val="center"/>
                </w:tcPr>
                <w:p w14:paraId="332A13D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221A0C6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C81DB9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39.55</w:t>
                  </w:r>
                </w:p>
              </w:tc>
              <w:tc>
                <w:tcPr>
                  <w:tcW w:w="0" w:type="auto"/>
                  <w:shd w:val="clear" w:color="auto" w:fill="auto"/>
                  <w:noWrap/>
                  <w:vAlign w:val="center"/>
                </w:tcPr>
                <w:p w14:paraId="7A6BAED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734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E87718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72</w:t>
                  </w:r>
                </w:p>
              </w:tc>
              <w:tc>
                <w:tcPr>
                  <w:tcW w:w="0" w:type="auto"/>
                  <w:shd w:val="clear" w:color="auto" w:fill="auto"/>
                  <w:noWrap/>
                  <w:vAlign w:val="center"/>
                </w:tcPr>
                <w:p w14:paraId="4E4441E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成品库</w:t>
                  </w:r>
                </w:p>
              </w:tc>
              <w:tc>
                <w:tcPr>
                  <w:tcW w:w="0" w:type="auto"/>
                  <w:shd w:val="clear" w:color="auto" w:fill="auto"/>
                  <w:noWrap/>
                  <w:vAlign w:val="center"/>
                </w:tcPr>
                <w:p w14:paraId="22EE689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筒仓2风机</w:t>
                  </w:r>
                </w:p>
              </w:tc>
              <w:tc>
                <w:tcPr>
                  <w:tcW w:w="0" w:type="auto"/>
                  <w:shd w:val="clear" w:color="auto" w:fill="auto"/>
                  <w:noWrap/>
                  <w:vAlign w:val="center"/>
                </w:tcPr>
                <w:p w14:paraId="412375D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4BE128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3F1202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6E6A657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C3AB3E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267.24</w:t>
                  </w:r>
                </w:p>
              </w:tc>
              <w:tc>
                <w:tcPr>
                  <w:tcW w:w="0" w:type="auto"/>
                  <w:shd w:val="clear" w:color="auto" w:fill="auto"/>
                  <w:noWrap/>
                  <w:vAlign w:val="center"/>
                </w:tcPr>
                <w:p w14:paraId="1586B02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222.08</w:t>
                  </w:r>
                </w:p>
              </w:tc>
              <w:tc>
                <w:tcPr>
                  <w:tcW w:w="0" w:type="auto"/>
                  <w:shd w:val="clear" w:color="auto" w:fill="auto"/>
                  <w:noWrap/>
                  <w:vAlign w:val="center"/>
                </w:tcPr>
                <w:p w14:paraId="236A49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5D0A3D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8.86</w:t>
                  </w:r>
                </w:p>
              </w:tc>
              <w:tc>
                <w:tcPr>
                  <w:tcW w:w="0" w:type="auto"/>
                  <w:shd w:val="clear" w:color="auto" w:fill="auto"/>
                  <w:noWrap/>
                  <w:vAlign w:val="center"/>
                </w:tcPr>
                <w:p w14:paraId="64F8ED2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65.58</w:t>
                  </w:r>
                </w:p>
              </w:tc>
              <w:tc>
                <w:tcPr>
                  <w:tcW w:w="0" w:type="auto"/>
                  <w:shd w:val="clear" w:color="auto" w:fill="auto"/>
                  <w:noWrap/>
                  <w:vAlign w:val="center"/>
                </w:tcPr>
                <w:p w14:paraId="3FCD82E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夜间</w:t>
                  </w:r>
                </w:p>
              </w:tc>
              <w:tc>
                <w:tcPr>
                  <w:tcW w:w="0" w:type="auto"/>
                  <w:shd w:val="clear" w:color="auto" w:fill="auto"/>
                  <w:noWrap/>
                  <w:vAlign w:val="center"/>
                </w:tcPr>
                <w:p w14:paraId="79FEC81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A19B28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39.58</w:t>
                  </w:r>
                </w:p>
              </w:tc>
              <w:tc>
                <w:tcPr>
                  <w:tcW w:w="0" w:type="auto"/>
                  <w:shd w:val="clear" w:color="auto" w:fill="auto"/>
                  <w:noWrap/>
                  <w:vAlign w:val="center"/>
                </w:tcPr>
                <w:p w14:paraId="5B5BDF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D38F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5344A4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w:t>
                  </w:r>
                </w:p>
              </w:tc>
              <w:tc>
                <w:tcPr>
                  <w:tcW w:w="0" w:type="auto"/>
                  <w:shd w:val="clear" w:color="auto" w:fill="auto"/>
                  <w:noWrap/>
                  <w:vAlign w:val="center"/>
                </w:tcPr>
                <w:p w14:paraId="45051C8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2CADBBB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本工程上料机</w:t>
                  </w:r>
                </w:p>
              </w:tc>
              <w:tc>
                <w:tcPr>
                  <w:tcW w:w="0" w:type="auto"/>
                  <w:shd w:val="clear" w:color="auto" w:fill="auto"/>
                  <w:noWrap/>
                  <w:vAlign w:val="center"/>
                </w:tcPr>
                <w:p w14:paraId="52B17B5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956BD1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D53E3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9CC591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B610C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284.34</w:t>
                  </w:r>
                </w:p>
              </w:tc>
              <w:tc>
                <w:tcPr>
                  <w:tcW w:w="0" w:type="auto"/>
                  <w:shd w:val="clear" w:color="auto" w:fill="auto"/>
                  <w:noWrap/>
                  <w:vAlign w:val="center"/>
                </w:tcPr>
                <w:p w14:paraId="785158C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71.53</w:t>
                  </w:r>
                </w:p>
              </w:tc>
              <w:tc>
                <w:tcPr>
                  <w:tcW w:w="0" w:type="auto"/>
                  <w:shd w:val="clear" w:color="auto" w:fill="auto"/>
                  <w:noWrap/>
                  <w:vAlign w:val="center"/>
                </w:tcPr>
                <w:p w14:paraId="58064CE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40E55E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28.49</w:t>
                  </w:r>
                </w:p>
              </w:tc>
              <w:tc>
                <w:tcPr>
                  <w:tcW w:w="0" w:type="auto"/>
                  <w:shd w:val="clear" w:color="auto" w:fill="auto"/>
                  <w:noWrap/>
                  <w:vAlign w:val="center"/>
                </w:tcPr>
                <w:p w14:paraId="7D77F2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59.69</w:t>
                  </w:r>
                </w:p>
              </w:tc>
              <w:tc>
                <w:tcPr>
                  <w:tcW w:w="0" w:type="auto"/>
                  <w:shd w:val="clear" w:color="auto" w:fill="auto"/>
                  <w:noWrap/>
                  <w:vAlign w:val="center"/>
                </w:tcPr>
                <w:p w14:paraId="102F8F7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59CD71C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2DB3AE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33.69</w:t>
                  </w:r>
                </w:p>
              </w:tc>
              <w:tc>
                <w:tcPr>
                  <w:tcW w:w="0" w:type="auto"/>
                  <w:shd w:val="clear" w:color="auto" w:fill="auto"/>
                  <w:noWrap/>
                  <w:vAlign w:val="center"/>
                </w:tcPr>
                <w:p w14:paraId="0A00001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0BD3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38ACF7A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74</w:t>
                  </w:r>
                </w:p>
              </w:tc>
              <w:tc>
                <w:tcPr>
                  <w:tcW w:w="0" w:type="auto"/>
                  <w:shd w:val="clear" w:color="auto" w:fill="auto"/>
                  <w:noWrap/>
                  <w:vAlign w:val="center"/>
                </w:tcPr>
                <w:p w14:paraId="7F77367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209F75C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本工程上料机</w:t>
                  </w:r>
                </w:p>
              </w:tc>
              <w:tc>
                <w:tcPr>
                  <w:tcW w:w="0" w:type="auto"/>
                  <w:shd w:val="clear" w:color="auto" w:fill="auto"/>
                  <w:noWrap/>
                  <w:vAlign w:val="center"/>
                </w:tcPr>
                <w:p w14:paraId="7AE21F0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5013F9">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70C456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D2CED3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10554A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284.34</w:t>
                  </w:r>
                </w:p>
              </w:tc>
              <w:tc>
                <w:tcPr>
                  <w:tcW w:w="0" w:type="auto"/>
                  <w:shd w:val="clear" w:color="auto" w:fill="auto"/>
                  <w:noWrap/>
                  <w:vAlign w:val="center"/>
                </w:tcPr>
                <w:p w14:paraId="02E3ABF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71.53</w:t>
                  </w:r>
                </w:p>
              </w:tc>
              <w:tc>
                <w:tcPr>
                  <w:tcW w:w="0" w:type="auto"/>
                  <w:shd w:val="clear" w:color="auto" w:fill="auto"/>
                  <w:noWrap/>
                  <w:vAlign w:val="center"/>
                </w:tcPr>
                <w:p w14:paraId="312D82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F7761A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11.04</w:t>
                  </w:r>
                </w:p>
              </w:tc>
              <w:tc>
                <w:tcPr>
                  <w:tcW w:w="0" w:type="auto"/>
                  <w:shd w:val="clear" w:color="auto" w:fill="auto"/>
                  <w:noWrap/>
                  <w:vAlign w:val="center"/>
                </w:tcPr>
                <w:p w14:paraId="591667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59.71</w:t>
                  </w:r>
                </w:p>
              </w:tc>
              <w:tc>
                <w:tcPr>
                  <w:tcW w:w="0" w:type="auto"/>
                  <w:shd w:val="clear" w:color="auto" w:fill="auto"/>
                  <w:noWrap/>
                  <w:vAlign w:val="center"/>
                </w:tcPr>
                <w:p w14:paraId="0529916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0352006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D64787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33.71</w:t>
                  </w:r>
                </w:p>
              </w:tc>
              <w:tc>
                <w:tcPr>
                  <w:tcW w:w="0" w:type="auto"/>
                  <w:shd w:val="clear" w:color="auto" w:fill="auto"/>
                  <w:noWrap/>
                  <w:vAlign w:val="center"/>
                </w:tcPr>
                <w:p w14:paraId="21A254B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A39D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45AC6FD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6B2E4BA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40785C2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本工程上料机</w:t>
                  </w:r>
                </w:p>
              </w:tc>
              <w:tc>
                <w:tcPr>
                  <w:tcW w:w="0" w:type="auto"/>
                  <w:shd w:val="clear" w:color="auto" w:fill="auto"/>
                  <w:noWrap/>
                  <w:vAlign w:val="center"/>
                </w:tcPr>
                <w:p w14:paraId="01ADA8C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1AC1323">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4CD25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2BFF2D7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6A0639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284.34</w:t>
                  </w:r>
                </w:p>
              </w:tc>
              <w:tc>
                <w:tcPr>
                  <w:tcW w:w="0" w:type="auto"/>
                  <w:shd w:val="clear" w:color="auto" w:fill="auto"/>
                  <w:noWrap/>
                  <w:vAlign w:val="center"/>
                </w:tcPr>
                <w:p w14:paraId="38B21E3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71.53</w:t>
                  </w:r>
                </w:p>
              </w:tc>
              <w:tc>
                <w:tcPr>
                  <w:tcW w:w="0" w:type="auto"/>
                  <w:shd w:val="clear" w:color="auto" w:fill="auto"/>
                  <w:noWrap/>
                  <w:vAlign w:val="center"/>
                </w:tcPr>
                <w:p w14:paraId="2B89BF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54D0743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30.89</w:t>
                  </w:r>
                </w:p>
              </w:tc>
              <w:tc>
                <w:tcPr>
                  <w:tcW w:w="0" w:type="auto"/>
                  <w:shd w:val="clear" w:color="auto" w:fill="auto"/>
                  <w:noWrap/>
                  <w:vAlign w:val="center"/>
                </w:tcPr>
                <w:p w14:paraId="0478077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59.69</w:t>
                  </w:r>
                </w:p>
              </w:tc>
              <w:tc>
                <w:tcPr>
                  <w:tcW w:w="0" w:type="auto"/>
                  <w:shd w:val="clear" w:color="auto" w:fill="auto"/>
                  <w:noWrap/>
                  <w:vAlign w:val="center"/>
                </w:tcPr>
                <w:p w14:paraId="306014F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BA1FA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69F5DF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33.69</w:t>
                  </w:r>
                </w:p>
              </w:tc>
              <w:tc>
                <w:tcPr>
                  <w:tcW w:w="0" w:type="auto"/>
                  <w:shd w:val="clear" w:color="auto" w:fill="auto"/>
                  <w:noWrap/>
                  <w:vAlign w:val="center"/>
                </w:tcPr>
                <w:p w14:paraId="6FE49C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25B0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556E04E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76</w:t>
                  </w:r>
                </w:p>
              </w:tc>
              <w:tc>
                <w:tcPr>
                  <w:tcW w:w="0" w:type="auto"/>
                  <w:shd w:val="clear" w:color="auto" w:fill="auto"/>
                  <w:noWrap/>
                  <w:vAlign w:val="center"/>
                </w:tcPr>
                <w:p w14:paraId="6679483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40DB668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本工程上料机</w:t>
                  </w:r>
                </w:p>
              </w:tc>
              <w:tc>
                <w:tcPr>
                  <w:tcW w:w="0" w:type="auto"/>
                  <w:shd w:val="clear" w:color="auto" w:fill="auto"/>
                  <w:noWrap/>
                  <w:vAlign w:val="center"/>
                </w:tcPr>
                <w:p w14:paraId="2CE1975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7AD094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B2F40B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3C6324C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CF7374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284.34</w:t>
                  </w:r>
                </w:p>
              </w:tc>
              <w:tc>
                <w:tcPr>
                  <w:tcW w:w="0" w:type="auto"/>
                  <w:shd w:val="clear" w:color="auto" w:fill="auto"/>
                  <w:noWrap/>
                  <w:vAlign w:val="center"/>
                </w:tcPr>
                <w:p w14:paraId="14C4553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71.53</w:t>
                  </w:r>
                </w:p>
              </w:tc>
              <w:tc>
                <w:tcPr>
                  <w:tcW w:w="0" w:type="auto"/>
                  <w:shd w:val="clear" w:color="auto" w:fill="auto"/>
                  <w:noWrap/>
                  <w:vAlign w:val="center"/>
                </w:tcPr>
                <w:p w14:paraId="2D1229C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B8AC4B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8.84</w:t>
                  </w:r>
                </w:p>
              </w:tc>
              <w:tc>
                <w:tcPr>
                  <w:tcW w:w="0" w:type="auto"/>
                  <w:shd w:val="clear" w:color="auto" w:fill="auto"/>
                  <w:noWrap/>
                  <w:vAlign w:val="center"/>
                </w:tcPr>
                <w:p w14:paraId="445341B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59.73</w:t>
                  </w:r>
                </w:p>
              </w:tc>
              <w:tc>
                <w:tcPr>
                  <w:tcW w:w="0" w:type="auto"/>
                  <w:shd w:val="clear" w:color="auto" w:fill="auto"/>
                  <w:noWrap/>
                  <w:vAlign w:val="center"/>
                </w:tcPr>
                <w:p w14:paraId="156CE9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D39B65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18C6B47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33.73</w:t>
                  </w:r>
                </w:p>
              </w:tc>
              <w:tc>
                <w:tcPr>
                  <w:tcW w:w="0" w:type="auto"/>
                  <w:shd w:val="clear" w:color="auto" w:fill="auto"/>
                  <w:noWrap/>
                  <w:vAlign w:val="center"/>
                </w:tcPr>
                <w:p w14:paraId="611ACE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D786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D79DEF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77</w:t>
                  </w:r>
                </w:p>
              </w:tc>
              <w:tc>
                <w:tcPr>
                  <w:tcW w:w="0" w:type="auto"/>
                  <w:shd w:val="clear" w:color="auto" w:fill="auto"/>
                  <w:noWrap/>
                  <w:vAlign w:val="center"/>
                </w:tcPr>
                <w:p w14:paraId="339900A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4545919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本工程破碎机</w:t>
                  </w:r>
                </w:p>
              </w:tc>
              <w:tc>
                <w:tcPr>
                  <w:tcW w:w="0" w:type="auto"/>
                  <w:shd w:val="clear" w:color="auto" w:fill="auto"/>
                  <w:noWrap/>
                  <w:vAlign w:val="center"/>
                </w:tcPr>
                <w:p w14:paraId="3603BEF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130040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653F58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738ECB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E53D5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296.01</w:t>
                  </w:r>
                </w:p>
              </w:tc>
              <w:tc>
                <w:tcPr>
                  <w:tcW w:w="0" w:type="auto"/>
                  <w:shd w:val="clear" w:color="auto" w:fill="auto"/>
                  <w:noWrap/>
                  <w:vAlign w:val="center"/>
                </w:tcPr>
                <w:p w14:paraId="0E3D35E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73.04</w:t>
                  </w:r>
                </w:p>
              </w:tc>
              <w:tc>
                <w:tcPr>
                  <w:tcW w:w="0" w:type="auto"/>
                  <w:shd w:val="clear" w:color="auto" w:fill="auto"/>
                  <w:noWrap/>
                  <w:vAlign w:val="center"/>
                </w:tcPr>
                <w:p w14:paraId="2C185BC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42966A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40.26</w:t>
                  </w:r>
                </w:p>
              </w:tc>
              <w:tc>
                <w:tcPr>
                  <w:tcW w:w="0" w:type="auto"/>
                  <w:shd w:val="clear" w:color="auto" w:fill="auto"/>
                  <w:noWrap/>
                  <w:vAlign w:val="center"/>
                </w:tcPr>
                <w:p w14:paraId="62AFA5D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59.68</w:t>
                  </w:r>
                </w:p>
              </w:tc>
              <w:tc>
                <w:tcPr>
                  <w:tcW w:w="0" w:type="auto"/>
                  <w:shd w:val="clear" w:color="auto" w:fill="auto"/>
                  <w:noWrap/>
                  <w:vAlign w:val="center"/>
                </w:tcPr>
                <w:p w14:paraId="47CFA68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C7445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79D789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33.68</w:t>
                  </w:r>
                </w:p>
              </w:tc>
              <w:tc>
                <w:tcPr>
                  <w:tcW w:w="0" w:type="auto"/>
                  <w:shd w:val="clear" w:color="auto" w:fill="auto"/>
                  <w:noWrap/>
                  <w:vAlign w:val="center"/>
                </w:tcPr>
                <w:p w14:paraId="5F34B96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EA5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26D2E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78</w:t>
                  </w:r>
                </w:p>
              </w:tc>
              <w:tc>
                <w:tcPr>
                  <w:tcW w:w="0" w:type="auto"/>
                  <w:shd w:val="clear" w:color="auto" w:fill="auto"/>
                  <w:noWrap/>
                  <w:vAlign w:val="center"/>
                </w:tcPr>
                <w:p w14:paraId="797909F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0DF1CD9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本工程破碎机</w:t>
                  </w:r>
                </w:p>
              </w:tc>
              <w:tc>
                <w:tcPr>
                  <w:tcW w:w="0" w:type="auto"/>
                  <w:shd w:val="clear" w:color="auto" w:fill="auto"/>
                  <w:noWrap/>
                  <w:vAlign w:val="center"/>
                </w:tcPr>
                <w:p w14:paraId="28D64E7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1AA5AB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63FAB1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656028CE">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CB339C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296.01</w:t>
                  </w:r>
                </w:p>
              </w:tc>
              <w:tc>
                <w:tcPr>
                  <w:tcW w:w="0" w:type="auto"/>
                  <w:shd w:val="clear" w:color="auto" w:fill="auto"/>
                  <w:noWrap/>
                  <w:vAlign w:val="center"/>
                </w:tcPr>
                <w:p w14:paraId="4C7CF65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73.04</w:t>
                  </w:r>
                </w:p>
              </w:tc>
              <w:tc>
                <w:tcPr>
                  <w:tcW w:w="0" w:type="auto"/>
                  <w:shd w:val="clear" w:color="auto" w:fill="auto"/>
                  <w:noWrap/>
                  <w:vAlign w:val="center"/>
                </w:tcPr>
                <w:p w14:paraId="062DAE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2BE316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10.99</w:t>
                  </w:r>
                </w:p>
              </w:tc>
              <w:tc>
                <w:tcPr>
                  <w:tcW w:w="0" w:type="auto"/>
                  <w:shd w:val="clear" w:color="auto" w:fill="auto"/>
                  <w:noWrap/>
                  <w:vAlign w:val="center"/>
                </w:tcPr>
                <w:p w14:paraId="561B174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59.71</w:t>
                  </w:r>
                </w:p>
              </w:tc>
              <w:tc>
                <w:tcPr>
                  <w:tcW w:w="0" w:type="auto"/>
                  <w:shd w:val="clear" w:color="auto" w:fill="auto"/>
                  <w:noWrap/>
                  <w:vAlign w:val="center"/>
                </w:tcPr>
                <w:p w14:paraId="277894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6597787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77A6A2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33.71</w:t>
                  </w:r>
                </w:p>
              </w:tc>
              <w:tc>
                <w:tcPr>
                  <w:tcW w:w="0" w:type="auto"/>
                  <w:shd w:val="clear" w:color="auto" w:fill="auto"/>
                  <w:noWrap/>
                  <w:vAlign w:val="center"/>
                </w:tcPr>
                <w:p w14:paraId="7B18C97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602B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A674ED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79</w:t>
                  </w:r>
                </w:p>
              </w:tc>
              <w:tc>
                <w:tcPr>
                  <w:tcW w:w="0" w:type="auto"/>
                  <w:shd w:val="clear" w:color="auto" w:fill="auto"/>
                  <w:noWrap/>
                  <w:vAlign w:val="center"/>
                </w:tcPr>
                <w:p w14:paraId="0563028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7153C35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本工程破碎机</w:t>
                  </w:r>
                </w:p>
              </w:tc>
              <w:tc>
                <w:tcPr>
                  <w:tcW w:w="0" w:type="auto"/>
                  <w:shd w:val="clear" w:color="auto" w:fill="auto"/>
                  <w:noWrap/>
                  <w:vAlign w:val="center"/>
                </w:tcPr>
                <w:p w14:paraId="3186209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6E673B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9C524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0CC8850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DC2674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296.01</w:t>
                  </w:r>
                </w:p>
              </w:tc>
              <w:tc>
                <w:tcPr>
                  <w:tcW w:w="0" w:type="auto"/>
                  <w:shd w:val="clear" w:color="auto" w:fill="auto"/>
                  <w:noWrap/>
                  <w:vAlign w:val="center"/>
                </w:tcPr>
                <w:p w14:paraId="11AEEBA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73.04</w:t>
                  </w:r>
                </w:p>
              </w:tc>
              <w:tc>
                <w:tcPr>
                  <w:tcW w:w="0" w:type="auto"/>
                  <w:shd w:val="clear" w:color="auto" w:fill="auto"/>
                  <w:noWrap/>
                  <w:vAlign w:val="center"/>
                </w:tcPr>
                <w:p w14:paraId="2F7A742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93C56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19.12</w:t>
                  </w:r>
                </w:p>
              </w:tc>
              <w:tc>
                <w:tcPr>
                  <w:tcW w:w="0" w:type="auto"/>
                  <w:shd w:val="clear" w:color="auto" w:fill="auto"/>
                  <w:noWrap/>
                  <w:vAlign w:val="center"/>
                </w:tcPr>
                <w:p w14:paraId="5EEDC5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59.69</w:t>
                  </w:r>
                </w:p>
              </w:tc>
              <w:tc>
                <w:tcPr>
                  <w:tcW w:w="0" w:type="auto"/>
                  <w:shd w:val="clear" w:color="auto" w:fill="auto"/>
                  <w:noWrap/>
                  <w:vAlign w:val="center"/>
                </w:tcPr>
                <w:p w14:paraId="627790B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C82411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729BEC5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33.69</w:t>
                  </w:r>
                </w:p>
              </w:tc>
              <w:tc>
                <w:tcPr>
                  <w:tcW w:w="0" w:type="auto"/>
                  <w:shd w:val="clear" w:color="auto" w:fill="auto"/>
                  <w:noWrap/>
                  <w:vAlign w:val="center"/>
                </w:tcPr>
                <w:p w14:paraId="32443F9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DC7D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C128C3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80</w:t>
                  </w:r>
                </w:p>
              </w:tc>
              <w:tc>
                <w:tcPr>
                  <w:tcW w:w="0" w:type="auto"/>
                  <w:shd w:val="clear" w:color="auto" w:fill="auto"/>
                  <w:noWrap/>
                  <w:vAlign w:val="center"/>
                </w:tcPr>
                <w:p w14:paraId="5C750BE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614AE86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本工程破碎机</w:t>
                  </w:r>
                </w:p>
              </w:tc>
              <w:tc>
                <w:tcPr>
                  <w:tcW w:w="0" w:type="auto"/>
                  <w:shd w:val="clear" w:color="auto" w:fill="auto"/>
                  <w:noWrap/>
                  <w:vAlign w:val="center"/>
                </w:tcPr>
                <w:p w14:paraId="7B03A94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12A2D1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0DDBED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0BC5ADB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C55BD6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296.01</w:t>
                  </w:r>
                </w:p>
              </w:tc>
              <w:tc>
                <w:tcPr>
                  <w:tcW w:w="0" w:type="auto"/>
                  <w:shd w:val="clear" w:color="auto" w:fill="auto"/>
                  <w:noWrap/>
                  <w:vAlign w:val="center"/>
                </w:tcPr>
                <w:p w14:paraId="5C0CFC5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73.04</w:t>
                  </w:r>
                </w:p>
              </w:tc>
              <w:tc>
                <w:tcPr>
                  <w:tcW w:w="0" w:type="auto"/>
                  <w:shd w:val="clear" w:color="auto" w:fill="auto"/>
                  <w:noWrap/>
                  <w:vAlign w:val="center"/>
                </w:tcPr>
                <w:p w14:paraId="54C02CF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E828FE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0" w:type="auto"/>
                  <w:shd w:val="clear" w:color="auto" w:fill="auto"/>
                  <w:noWrap/>
                  <w:vAlign w:val="center"/>
                </w:tcPr>
                <w:p w14:paraId="44882CB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59.73</w:t>
                  </w:r>
                </w:p>
              </w:tc>
              <w:tc>
                <w:tcPr>
                  <w:tcW w:w="0" w:type="auto"/>
                  <w:shd w:val="clear" w:color="auto" w:fill="auto"/>
                  <w:noWrap/>
                  <w:vAlign w:val="center"/>
                </w:tcPr>
                <w:p w14:paraId="1949594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79274A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2D21268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33.73</w:t>
                  </w:r>
                </w:p>
              </w:tc>
              <w:tc>
                <w:tcPr>
                  <w:tcW w:w="0" w:type="auto"/>
                  <w:shd w:val="clear" w:color="auto" w:fill="auto"/>
                  <w:noWrap/>
                  <w:vAlign w:val="center"/>
                </w:tcPr>
                <w:p w14:paraId="0274B12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902B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3C41F8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81</w:t>
                  </w:r>
                </w:p>
              </w:tc>
              <w:tc>
                <w:tcPr>
                  <w:tcW w:w="0" w:type="auto"/>
                  <w:shd w:val="clear" w:color="auto" w:fill="auto"/>
                  <w:noWrap/>
                  <w:vAlign w:val="center"/>
                </w:tcPr>
                <w:p w14:paraId="7E7D6FF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6DA2BA0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本工程提升机</w:t>
                  </w:r>
                </w:p>
              </w:tc>
              <w:tc>
                <w:tcPr>
                  <w:tcW w:w="0" w:type="auto"/>
                  <w:shd w:val="clear" w:color="auto" w:fill="auto"/>
                  <w:noWrap/>
                  <w:vAlign w:val="center"/>
                </w:tcPr>
                <w:p w14:paraId="26D0F580">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579F8A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B5F84D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DFA2BCC">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EE69C6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291.75</w:t>
                  </w:r>
                </w:p>
              </w:tc>
              <w:tc>
                <w:tcPr>
                  <w:tcW w:w="0" w:type="auto"/>
                  <w:shd w:val="clear" w:color="auto" w:fill="auto"/>
                  <w:noWrap/>
                  <w:vAlign w:val="center"/>
                </w:tcPr>
                <w:p w14:paraId="1230122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64.41</w:t>
                  </w:r>
                </w:p>
              </w:tc>
              <w:tc>
                <w:tcPr>
                  <w:tcW w:w="0" w:type="auto"/>
                  <w:shd w:val="clear" w:color="auto" w:fill="auto"/>
                  <w:noWrap/>
                  <w:vAlign w:val="center"/>
                </w:tcPr>
                <w:p w14:paraId="2E670B3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35B18AF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34.94</w:t>
                  </w:r>
                </w:p>
              </w:tc>
              <w:tc>
                <w:tcPr>
                  <w:tcW w:w="0" w:type="auto"/>
                  <w:shd w:val="clear" w:color="auto" w:fill="auto"/>
                  <w:noWrap/>
                  <w:vAlign w:val="center"/>
                </w:tcPr>
                <w:p w14:paraId="746BAB0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59.68</w:t>
                  </w:r>
                </w:p>
              </w:tc>
              <w:tc>
                <w:tcPr>
                  <w:tcW w:w="0" w:type="auto"/>
                  <w:shd w:val="clear" w:color="auto" w:fill="auto"/>
                  <w:noWrap/>
                  <w:vAlign w:val="center"/>
                </w:tcPr>
                <w:p w14:paraId="42D6BBD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D4B96A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B70859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33.68</w:t>
                  </w:r>
                </w:p>
              </w:tc>
              <w:tc>
                <w:tcPr>
                  <w:tcW w:w="0" w:type="auto"/>
                  <w:shd w:val="clear" w:color="auto" w:fill="auto"/>
                  <w:noWrap/>
                  <w:vAlign w:val="center"/>
                </w:tcPr>
                <w:p w14:paraId="165F8A5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40CC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1A18C7D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82</w:t>
                  </w:r>
                </w:p>
              </w:tc>
              <w:tc>
                <w:tcPr>
                  <w:tcW w:w="0" w:type="auto"/>
                  <w:shd w:val="clear" w:color="auto" w:fill="auto"/>
                  <w:noWrap/>
                  <w:vAlign w:val="center"/>
                </w:tcPr>
                <w:p w14:paraId="5096DC8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41C83E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本工程提升机</w:t>
                  </w:r>
                </w:p>
              </w:tc>
              <w:tc>
                <w:tcPr>
                  <w:tcW w:w="0" w:type="auto"/>
                  <w:shd w:val="clear" w:color="auto" w:fill="auto"/>
                  <w:noWrap/>
                  <w:vAlign w:val="center"/>
                </w:tcPr>
                <w:p w14:paraId="61C7F24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918EE2B">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92948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7BDC850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5AB3B4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291.75</w:t>
                  </w:r>
                </w:p>
              </w:tc>
              <w:tc>
                <w:tcPr>
                  <w:tcW w:w="0" w:type="auto"/>
                  <w:shd w:val="clear" w:color="auto" w:fill="auto"/>
                  <w:noWrap/>
                  <w:vAlign w:val="center"/>
                </w:tcPr>
                <w:p w14:paraId="67FD519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64.41</w:t>
                  </w:r>
                </w:p>
              </w:tc>
              <w:tc>
                <w:tcPr>
                  <w:tcW w:w="0" w:type="auto"/>
                  <w:shd w:val="clear" w:color="auto" w:fill="auto"/>
                  <w:noWrap/>
                  <w:vAlign w:val="center"/>
                </w:tcPr>
                <w:p w14:paraId="253E09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44DA6D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w:t>
                  </w:r>
                </w:p>
              </w:tc>
              <w:tc>
                <w:tcPr>
                  <w:tcW w:w="0" w:type="auto"/>
                  <w:shd w:val="clear" w:color="auto" w:fill="auto"/>
                  <w:noWrap/>
                  <w:vAlign w:val="center"/>
                </w:tcPr>
                <w:p w14:paraId="6CDE011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60.08</w:t>
                  </w:r>
                </w:p>
              </w:tc>
              <w:tc>
                <w:tcPr>
                  <w:tcW w:w="0" w:type="auto"/>
                  <w:shd w:val="clear" w:color="auto" w:fill="auto"/>
                  <w:noWrap/>
                  <w:vAlign w:val="center"/>
                </w:tcPr>
                <w:p w14:paraId="426219C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0B0B94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A6A354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34.08</w:t>
                  </w:r>
                </w:p>
              </w:tc>
              <w:tc>
                <w:tcPr>
                  <w:tcW w:w="0" w:type="auto"/>
                  <w:shd w:val="clear" w:color="auto" w:fill="auto"/>
                  <w:noWrap/>
                  <w:vAlign w:val="center"/>
                </w:tcPr>
                <w:p w14:paraId="4D386F5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0929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D665E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83</w:t>
                  </w:r>
                </w:p>
              </w:tc>
              <w:tc>
                <w:tcPr>
                  <w:tcW w:w="0" w:type="auto"/>
                  <w:shd w:val="clear" w:color="auto" w:fill="auto"/>
                  <w:noWrap/>
                  <w:vAlign w:val="center"/>
                </w:tcPr>
                <w:p w14:paraId="29AAFBE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3D6AE62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本工程提升机</w:t>
                  </w:r>
                </w:p>
              </w:tc>
              <w:tc>
                <w:tcPr>
                  <w:tcW w:w="0" w:type="auto"/>
                  <w:shd w:val="clear" w:color="auto" w:fill="auto"/>
                  <w:noWrap/>
                  <w:vAlign w:val="center"/>
                </w:tcPr>
                <w:p w14:paraId="442786A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4CB6ACFA">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B23F5F3">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8EAC06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C77E49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291.75</w:t>
                  </w:r>
                </w:p>
              </w:tc>
              <w:tc>
                <w:tcPr>
                  <w:tcW w:w="0" w:type="auto"/>
                  <w:shd w:val="clear" w:color="auto" w:fill="auto"/>
                  <w:noWrap/>
                  <w:vAlign w:val="center"/>
                </w:tcPr>
                <w:p w14:paraId="660BBE5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64.41</w:t>
                  </w:r>
                </w:p>
              </w:tc>
              <w:tc>
                <w:tcPr>
                  <w:tcW w:w="0" w:type="auto"/>
                  <w:shd w:val="clear" w:color="auto" w:fill="auto"/>
                  <w:noWrap/>
                  <w:vAlign w:val="center"/>
                </w:tcPr>
                <w:p w14:paraId="6C842C8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0B6CDB7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24.39</w:t>
                  </w:r>
                </w:p>
              </w:tc>
              <w:tc>
                <w:tcPr>
                  <w:tcW w:w="0" w:type="auto"/>
                  <w:shd w:val="clear" w:color="auto" w:fill="auto"/>
                  <w:noWrap/>
                  <w:vAlign w:val="center"/>
                </w:tcPr>
                <w:p w14:paraId="65A0E2F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59.69</w:t>
                  </w:r>
                </w:p>
              </w:tc>
              <w:tc>
                <w:tcPr>
                  <w:tcW w:w="0" w:type="auto"/>
                  <w:shd w:val="clear" w:color="auto" w:fill="auto"/>
                  <w:noWrap/>
                  <w:vAlign w:val="center"/>
                </w:tcPr>
                <w:p w14:paraId="3D6A590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B75D35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0816F1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33.69</w:t>
                  </w:r>
                </w:p>
              </w:tc>
              <w:tc>
                <w:tcPr>
                  <w:tcW w:w="0" w:type="auto"/>
                  <w:shd w:val="clear" w:color="auto" w:fill="auto"/>
                  <w:noWrap/>
                  <w:vAlign w:val="center"/>
                </w:tcPr>
                <w:p w14:paraId="625B27A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7EF3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B1682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84</w:t>
                  </w:r>
                </w:p>
              </w:tc>
              <w:tc>
                <w:tcPr>
                  <w:tcW w:w="0" w:type="auto"/>
                  <w:shd w:val="clear" w:color="auto" w:fill="auto"/>
                  <w:noWrap/>
                  <w:vAlign w:val="center"/>
                </w:tcPr>
                <w:p w14:paraId="6D30AAE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37EBC57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本工程提升机</w:t>
                  </w:r>
                </w:p>
              </w:tc>
              <w:tc>
                <w:tcPr>
                  <w:tcW w:w="0" w:type="auto"/>
                  <w:shd w:val="clear" w:color="auto" w:fill="auto"/>
                  <w:noWrap/>
                  <w:vAlign w:val="center"/>
                </w:tcPr>
                <w:p w14:paraId="1F90220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79B695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6EAEC2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0" w:type="auto"/>
                  <w:shd w:val="clear" w:color="auto" w:fill="auto"/>
                  <w:noWrap/>
                  <w:vAlign w:val="center"/>
                </w:tcPr>
                <w:p w14:paraId="459C2CA6">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98A06B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291.75</w:t>
                  </w:r>
                </w:p>
              </w:tc>
              <w:tc>
                <w:tcPr>
                  <w:tcW w:w="0" w:type="auto"/>
                  <w:shd w:val="clear" w:color="auto" w:fill="auto"/>
                  <w:noWrap/>
                  <w:vAlign w:val="center"/>
                </w:tcPr>
                <w:p w14:paraId="4E8C29D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64.41</w:t>
                  </w:r>
                </w:p>
              </w:tc>
              <w:tc>
                <w:tcPr>
                  <w:tcW w:w="0" w:type="auto"/>
                  <w:shd w:val="clear" w:color="auto" w:fill="auto"/>
                  <w:noWrap/>
                  <w:vAlign w:val="center"/>
                </w:tcPr>
                <w:p w14:paraId="13837CA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8CEB41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16.83</w:t>
                  </w:r>
                </w:p>
              </w:tc>
              <w:tc>
                <w:tcPr>
                  <w:tcW w:w="0" w:type="auto"/>
                  <w:shd w:val="clear" w:color="auto" w:fill="auto"/>
                  <w:noWrap/>
                  <w:vAlign w:val="center"/>
                </w:tcPr>
                <w:p w14:paraId="34E435C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59.69</w:t>
                  </w:r>
                </w:p>
              </w:tc>
              <w:tc>
                <w:tcPr>
                  <w:tcW w:w="0" w:type="auto"/>
                  <w:shd w:val="clear" w:color="auto" w:fill="auto"/>
                  <w:noWrap/>
                  <w:vAlign w:val="center"/>
                </w:tcPr>
                <w:p w14:paraId="73684F6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53BEDC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14B71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33.69</w:t>
                  </w:r>
                </w:p>
              </w:tc>
              <w:tc>
                <w:tcPr>
                  <w:tcW w:w="0" w:type="auto"/>
                  <w:shd w:val="clear" w:color="auto" w:fill="auto"/>
                  <w:noWrap/>
                  <w:vAlign w:val="center"/>
                </w:tcPr>
                <w:p w14:paraId="2E4A02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6C2A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7F802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85</w:t>
                  </w:r>
                </w:p>
              </w:tc>
              <w:tc>
                <w:tcPr>
                  <w:tcW w:w="0" w:type="auto"/>
                  <w:shd w:val="clear" w:color="auto" w:fill="auto"/>
                  <w:noWrap/>
                  <w:vAlign w:val="center"/>
                </w:tcPr>
                <w:p w14:paraId="3ADDB7E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163B907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本工程风机</w:t>
                  </w:r>
                </w:p>
              </w:tc>
              <w:tc>
                <w:tcPr>
                  <w:tcW w:w="0" w:type="auto"/>
                  <w:shd w:val="clear" w:color="auto" w:fill="auto"/>
                  <w:noWrap/>
                  <w:vAlign w:val="center"/>
                </w:tcPr>
                <w:p w14:paraId="5270EF7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171C65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5BA25D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4AE2172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6DC3F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307.42</w:t>
                  </w:r>
                </w:p>
              </w:tc>
              <w:tc>
                <w:tcPr>
                  <w:tcW w:w="0" w:type="auto"/>
                  <w:shd w:val="clear" w:color="auto" w:fill="auto"/>
                  <w:noWrap/>
                  <w:vAlign w:val="center"/>
                </w:tcPr>
                <w:p w14:paraId="32AD7E6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66.11</w:t>
                  </w:r>
                </w:p>
              </w:tc>
              <w:tc>
                <w:tcPr>
                  <w:tcW w:w="0" w:type="auto"/>
                  <w:shd w:val="clear" w:color="auto" w:fill="auto"/>
                  <w:noWrap/>
                  <w:vAlign w:val="center"/>
                </w:tcPr>
                <w:p w14:paraId="548FC5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1CD4F7C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50.7</w:t>
                  </w:r>
                </w:p>
              </w:tc>
              <w:tc>
                <w:tcPr>
                  <w:tcW w:w="0" w:type="auto"/>
                  <w:shd w:val="clear" w:color="auto" w:fill="auto"/>
                  <w:noWrap/>
                  <w:vAlign w:val="center"/>
                </w:tcPr>
                <w:p w14:paraId="6879C1F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64.68</w:t>
                  </w:r>
                </w:p>
              </w:tc>
              <w:tc>
                <w:tcPr>
                  <w:tcW w:w="0" w:type="auto"/>
                  <w:shd w:val="clear" w:color="auto" w:fill="auto"/>
                  <w:noWrap/>
                  <w:vAlign w:val="center"/>
                </w:tcPr>
                <w:p w14:paraId="446CA25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4B24758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3D44CA7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38.68</w:t>
                  </w:r>
                </w:p>
              </w:tc>
              <w:tc>
                <w:tcPr>
                  <w:tcW w:w="0" w:type="auto"/>
                  <w:shd w:val="clear" w:color="auto" w:fill="auto"/>
                  <w:noWrap/>
                  <w:vAlign w:val="center"/>
                </w:tcPr>
                <w:p w14:paraId="695A2AA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7E6E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0BF8C9CD">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w:t>
                  </w:r>
                </w:p>
              </w:tc>
              <w:tc>
                <w:tcPr>
                  <w:tcW w:w="0" w:type="auto"/>
                  <w:shd w:val="clear" w:color="auto" w:fill="auto"/>
                  <w:noWrap/>
                  <w:vAlign w:val="center"/>
                </w:tcPr>
                <w:p w14:paraId="062958D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4990865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本工程风机</w:t>
                  </w:r>
                </w:p>
              </w:tc>
              <w:tc>
                <w:tcPr>
                  <w:tcW w:w="0" w:type="auto"/>
                  <w:shd w:val="clear" w:color="auto" w:fill="auto"/>
                  <w:noWrap/>
                  <w:vAlign w:val="center"/>
                </w:tcPr>
                <w:p w14:paraId="7A69D07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13853DA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342E8FD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A15799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3B17E4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307.42</w:t>
                  </w:r>
                </w:p>
              </w:tc>
              <w:tc>
                <w:tcPr>
                  <w:tcW w:w="0" w:type="auto"/>
                  <w:shd w:val="clear" w:color="auto" w:fill="auto"/>
                  <w:noWrap/>
                  <w:vAlign w:val="center"/>
                </w:tcPr>
                <w:p w14:paraId="585995C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66.11</w:t>
                  </w:r>
                </w:p>
              </w:tc>
              <w:tc>
                <w:tcPr>
                  <w:tcW w:w="0" w:type="auto"/>
                  <w:shd w:val="clear" w:color="auto" w:fill="auto"/>
                  <w:noWrap/>
                  <w:vAlign w:val="center"/>
                </w:tcPr>
                <w:p w14:paraId="7958C73B">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7C159BA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2.62</w:t>
                  </w:r>
                </w:p>
              </w:tc>
              <w:tc>
                <w:tcPr>
                  <w:tcW w:w="0" w:type="auto"/>
                  <w:shd w:val="clear" w:color="auto" w:fill="auto"/>
                  <w:noWrap/>
                  <w:vAlign w:val="center"/>
                </w:tcPr>
                <w:p w14:paraId="06DD5F70">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65.19</w:t>
                  </w:r>
                </w:p>
              </w:tc>
              <w:tc>
                <w:tcPr>
                  <w:tcW w:w="0" w:type="auto"/>
                  <w:shd w:val="clear" w:color="auto" w:fill="auto"/>
                  <w:noWrap/>
                  <w:vAlign w:val="center"/>
                </w:tcPr>
                <w:p w14:paraId="15F5F94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2210C32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22C8E3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39.19</w:t>
                  </w:r>
                </w:p>
              </w:tc>
              <w:tc>
                <w:tcPr>
                  <w:tcW w:w="0" w:type="auto"/>
                  <w:shd w:val="clear" w:color="auto" w:fill="auto"/>
                  <w:noWrap/>
                  <w:vAlign w:val="center"/>
                </w:tcPr>
                <w:p w14:paraId="133E7A9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46E2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72313F5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87</w:t>
                  </w:r>
                </w:p>
              </w:tc>
              <w:tc>
                <w:tcPr>
                  <w:tcW w:w="0" w:type="auto"/>
                  <w:shd w:val="clear" w:color="auto" w:fill="auto"/>
                  <w:noWrap/>
                  <w:vAlign w:val="center"/>
                </w:tcPr>
                <w:p w14:paraId="788BDFE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2D65CD02">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本工程风机</w:t>
                  </w:r>
                </w:p>
              </w:tc>
              <w:tc>
                <w:tcPr>
                  <w:tcW w:w="0" w:type="auto"/>
                  <w:shd w:val="clear" w:color="auto" w:fill="auto"/>
                  <w:noWrap/>
                  <w:vAlign w:val="center"/>
                </w:tcPr>
                <w:p w14:paraId="1B2C8B6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02C29A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0A16E7E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06B0050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5E70245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307.42</w:t>
                  </w:r>
                </w:p>
              </w:tc>
              <w:tc>
                <w:tcPr>
                  <w:tcW w:w="0" w:type="auto"/>
                  <w:shd w:val="clear" w:color="auto" w:fill="auto"/>
                  <w:noWrap/>
                  <w:vAlign w:val="center"/>
                </w:tcPr>
                <w:p w14:paraId="6B851B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66.11</w:t>
                  </w:r>
                </w:p>
              </w:tc>
              <w:tc>
                <w:tcPr>
                  <w:tcW w:w="0" w:type="auto"/>
                  <w:shd w:val="clear" w:color="auto" w:fill="auto"/>
                  <w:noWrap/>
                  <w:vAlign w:val="center"/>
                </w:tcPr>
                <w:p w14:paraId="23D37EB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2030508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8.63</w:t>
                  </w:r>
                </w:p>
              </w:tc>
              <w:tc>
                <w:tcPr>
                  <w:tcW w:w="0" w:type="auto"/>
                  <w:shd w:val="clear" w:color="auto" w:fill="auto"/>
                  <w:noWrap/>
                  <w:vAlign w:val="center"/>
                </w:tcPr>
                <w:p w14:paraId="2CE69BF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64.73</w:t>
                  </w:r>
                </w:p>
              </w:tc>
              <w:tc>
                <w:tcPr>
                  <w:tcW w:w="0" w:type="auto"/>
                  <w:shd w:val="clear" w:color="auto" w:fill="auto"/>
                  <w:noWrap/>
                  <w:vAlign w:val="center"/>
                </w:tcPr>
                <w:p w14:paraId="3ED7CBF4">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76FFCB7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43E7864F">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38.73</w:t>
                  </w:r>
                </w:p>
              </w:tc>
              <w:tc>
                <w:tcPr>
                  <w:tcW w:w="0" w:type="auto"/>
                  <w:shd w:val="clear" w:color="auto" w:fill="auto"/>
                  <w:noWrap/>
                  <w:vAlign w:val="center"/>
                </w:tcPr>
                <w:p w14:paraId="1484773E">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8ED6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shd w:val="clear" w:color="auto" w:fill="auto"/>
                  <w:noWrap/>
                  <w:vAlign w:val="center"/>
                </w:tcPr>
                <w:p w14:paraId="631B781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w:t>
                  </w:r>
                </w:p>
              </w:tc>
              <w:tc>
                <w:tcPr>
                  <w:tcW w:w="0" w:type="auto"/>
                  <w:shd w:val="clear" w:color="auto" w:fill="auto"/>
                  <w:noWrap/>
                  <w:vAlign w:val="center"/>
                </w:tcPr>
                <w:p w14:paraId="2FE4192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生产车间</w:t>
                  </w:r>
                </w:p>
              </w:tc>
              <w:tc>
                <w:tcPr>
                  <w:tcW w:w="0" w:type="auto"/>
                  <w:shd w:val="clear" w:color="auto" w:fill="auto"/>
                  <w:noWrap/>
                  <w:vAlign w:val="center"/>
                </w:tcPr>
                <w:p w14:paraId="09757301">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本工程风机</w:t>
                  </w:r>
                </w:p>
              </w:tc>
              <w:tc>
                <w:tcPr>
                  <w:tcW w:w="0" w:type="auto"/>
                  <w:shd w:val="clear" w:color="auto" w:fill="auto"/>
                  <w:noWrap/>
                  <w:vAlign w:val="center"/>
                </w:tcPr>
                <w:p w14:paraId="57211E0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6AEA6DA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2B182477">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0" w:type="auto"/>
                  <w:shd w:val="clear" w:color="auto" w:fill="auto"/>
                  <w:noWrap/>
                  <w:vAlign w:val="center"/>
                </w:tcPr>
                <w:p w14:paraId="56FAAEA2">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000000"/>
                      <w:sz w:val="18"/>
                      <w:szCs w:val="18"/>
                      <w:u w:val="none"/>
                    </w:rPr>
                  </w:pPr>
                </w:p>
              </w:tc>
              <w:tc>
                <w:tcPr>
                  <w:tcW w:w="0" w:type="auto"/>
                  <w:shd w:val="clear" w:color="auto" w:fill="auto"/>
                  <w:noWrap/>
                  <w:vAlign w:val="center"/>
                </w:tcPr>
                <w:p w14:paraId="72A5848C">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307.42</w:t>
                  </w:r>
                </w:p>
              </w:tc>
              <w:tc>
                <w:tcPr>
                  <w:tcW w:w="0" w:type="auto"/>
                  <w:shd w:val="clear" w:color="auto" w:fill="auto"/>
                  <w:noWrap/>
                  <w:vAlign w:val="center"/>
                </w:tcPr>
                <w:p w14:paraId="16B995E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66.11</w:t>
                  </w:r>
                </w:p>
              </w:tc>
              <w:tc>
                <w:tcPr>
                  <w:tcW w:w="0" w:type="auto"/>
                  <w:shd w:val="clear" w:color="auto" w:fill="auto"/>
                  <w:noWrap/>
                  <w:vAlign w:val="center"/>
                </w:tcPr>
                <w:p w14:paraId="053C5D85">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0" w:type="auto"/>
                  <w:shd w:val="clear" w:color="auto" w:fill="auto"/>
                  <w:noWrap/>
                  <w:vAlign w:val="center"/>
                </w:tcPr>
                <w:p w14:paraId="6BE70B06">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17.12</w:t>
                  </w:r>
                </w:p>
              </w:tc>
              <w:tc>
                <w:tcPr>
                  <w:tcW w:w="0" w:type="auto"/>
                  <w:shd w:val="clear" w:color="auto" w:fill="auto"/>
                  <w:noWrap/>
                  <w:vAlign w:val="center"/>
                </w:tcPr>
                <w:p w14:paraId="100C15F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64.69</w:t>
                  </w:r>
                </w:p>
              </w:tc>
              <w:tc>
                <w:tcPr>
                  <w:tcW w:w="0" w:type="auto"/>
                  <w:shd w:val="clear" w:color="auto" w:fill="auto"/>
                  <w:noWrap/>
                  <w:vAlign w:val="center"/>
                </w:tcPr>
                <w:p w14:paraId="22AC86A9">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昼间</w:t>
                  </w:r>
                </w:p>
              </w:tc>
              <w:tc>
                <w:tcPr>
                  <w:tcW w:w="0" w:type="auto"/>
                  <w:shd w:val="clear" w:color="auto" w:fill="auto"/>
                  <w:noWrap/>
                  <w:vAlign w:val="center"/>
                </w:tcPr>
                <w:p w14:paraId="3AE3A2A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0" w:type="auto"/>
                  <w:shd w:val="clear" w:color="auto" w:fill="auto"/>
                  <w:noWrap/>
                  <w:vAlign w:val="center"/>
                </w:tcPr>
                <w:p w14:paraId="52839698">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38.69</w:t>
                  </w:r>
                </w:p>
              </w:tc>
              <w:tc>
                <w:tcPr>
                  <w:tcW w:w="0" w:type="auto"/>
                  <w:shd w:val="clear" w:color="auto" w:fill="auto"/>
                  <w:noWrap/>
                  <w:vAlign w:val="center"/>
                </w:tcPr>
                <w:p w14:paraId="0DC32C4A">
                  <w:pPr>
                    <w:keepNext w:val="0"/>
                    <w:keepLines w:val="0"/>
                    <w:pageBreakBefore w:val="0"/>
                    <w:widowControl w:val="0"/>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r>
          </w:tbl>
          <w:p w14:paraId="2D029E4A">
            <w:pPr>
              <w:jc w:val="center"/>
              <w:rPr>
                <w:rFonts w:ascii="Times New Roman" w:hAnsi="Times New Roman" w:eastAsia="宋体" w:cs="Times New Roman"/>
                <w:b/>
                <w:color w:val="000000" w:themeColor="text1"/>
                <w:sz w:val="21"/>
                <w:szCs w:val="21"/>
                <w:highlight w:val="none"/>
                <w:lang w:eastAsia="zh-CN"/>
              </w:rPr>
            </w:pPr>
          </w:p>
          <w:p w14:paraId="5FD2CFDB">
            <w:pPr>
              <w:jc w:val="center"/>
              <w:rPr>
                <w:rFonts w:ascii="Times New Roman" w:hAnsi="Times New Roman" w:eastAsia="宋体" w:cs="Times New Roman"/>
                <w:b/>
                <w:color w:val="000000" w:themeColor="text1"/>
                <w:sz w:val="21"/>
                <w:szCs w:val="21"/>
                <w:highlight w:val="none"/>
                <w:lang w:eastAsia="zh-CN"/>
              </w:rPr>
            </w:pPr>
          </w:p>
          <w:p w14:paraId="30FD56E5">
            <w:pPr>
              <w:jc w:val="center"/>
              <w:rPr>
                <w:rFonts w:ascii="Times New Roman" w:hAnsi="Times New Roman" w:eastAsia="宋体" w:cs="Times New Roman"/>
                <w:b/>
                <w:color w:val="000000" w:themeColor="text1"/>
                <w:sz w:val="21"/>
                <w:szCs w:val="21"/>
                <w:highlight w:val="none"/>
                <w:lang w:eastAsia="zh-CN"/>
              </w:rPr>
            </w:pPr>
          </w:p>
          <w:p w14:paraId="3A9215FF">
            <w:pPr>
              <w:jc w:val="both"/>
              <w:rPr>
                <w:rFonts w:hint="eastAsia" w:ascii="Times New Roman" w:hAnsi="Times New Roman" w:eastAsia="宋体" w:cs="Times New Roman"/>
                <w:color w:val="auto"/>
                <w:vertAlign w:val="baseline"/>
                <w:lang w:eastAsia="zh-CN"/>
              </w:rPr>
            </w:pPr>
          </w:p>
          <w:p w14:paraId="23E28101">
            <w:pPr>
              <w:jc w:val="both"/>
              <w:rPr>
                <w:rFonts w:hint="eastAsia" w:ascii="Times New Roman" w:hAnsi="Times New Roman" w:eastAsia="宋体" w:cs="Times New Roman"/>
                <w:color w:val="auto"/>
                <w:vertAlign w:val="baseline"/>
                <w:lang w:eastAsia="zh-CN"/>
              </w:rPr>
            </w:pPr>
          </w:p>
          <w:p w14:paraId="191BB942">
            <w:pPr>
              <w:jc w:val="both"/>
              <w:rPr>
                <w:rFonts w:hint="eastAsia" w:ascii="Times New Roman" w:hAnsi="Times New Roman" w:eastAsia="宋体" w:cs="Times New Roman"/>
                <w:color w:val="auto"/>
                <w:vertAlign w:val="baseline"/>
                <w:lang w:eastAsia="zh-CN"/>
              </w:rPr>
            </w:pPr>
          </w:p>
          <w:p w14:paraId="114EFA1C">
            <w:pPr>
              <w:jc w:val="both"/>
              <w:rPr>
                <w:rFonts w:hint="eastAsia" w:ascii="Times New Roman" w:hAnsi="Times New Roman" w:eastAsia="宋体" w:cs="Times New Roman"/>
                <w:color w:val="auto"/>
                <w:vertAlign w:val="baseline"/>
                <w:lang w:eastAsia="zh-CN"/>
              </w:rPr>
            </w:pPr>
          </w:p>
          <w:p w14:paraId="04E91797">
            <w:pPr>
              <w:jc w:val="both"/>
              <w:rPr>
                <w:rFonts w:hint="eastAsia" w:ascii="Times New Roman" w:hAnsi="Times New Roman" w:eastAsia="宋体" w:cs="Times New Roman"/>
                <w:color w:val="auto"/>
                <w:vertAlign w:val="baseline"/>
                <w:lang w:eastAsia="zh-CN"/>
              </w:rPr>
            </w:pPr>
          </w:p>
          <w:p w14:paraId="4D7191A9">
            <w:pPr>
              <w:jc w:val="both"/>
              <w:rPr>
                <w:rFonts w:hint="eastAsia" w:ascii="Times New Roman" w:hAnsi="Times New Roman" w:eastAsia="宋体" w:cs="Times New Roman"/>
                <w:color w:val="auto"/>
                <w:vertAlign w:val="baseline"/>
                <w:lang w:eastAsia="zh-CN"/>
              </w:rPr>
            </w:pPr>
          </w:p>
          <w:p w14:paraId="022EC4A2">
            <w:pPr>
              <w:jc w:val="both"/>
              <w:rPr>
                <w:rFonts w:hint="eastAsia" w:ascii="Times New Roman" w:hAnsi="Times New Roman" w:eastAsia="宋体" w:cs="Times New Roman"/>
                <w:color w:val="auto"/>
                <w:vertAlign w:val="baseline"/>
                <w:lang w:eastAsia="zh-CN"/>
              </w:rPr>
            </w:pPr>
          </w:p>
          <w:p w14:paraId="3D502873">
            <w:pPr>
              <w:jc w:val="both"/>
              <w:rPr>
                <w:rFonts w:hint="eastAsia" w:ascii="Times New Roman" w:hAnsi="Times New Roman" w:eastAsia="宋体" w:cs="Times New Roman"/>
                <w:color w:val="auto"/>
                <w:vertAlign w:val="baseline"/>
                <w:lang w:eastAsia="zh-CN"/>
              </w:rPr>
            </w:pPr>
          </w:p>
          <w:p w14:paraId="173F7950">
            <w:pPr>
              <w:jc w:val="both"/>
              <w:rPr>
                <w:rFonts w:hint="eastAsia" w:ascii="Times New Roman" w:hAnsi="Times New Roman" w:eastAsia="宋体" w:cs="Times New Roman"/>
                <w:color w:val="auto"/>
                <w:vertAlign w:val="baseline"/>
                <w:lang w:eastAsia="zh-CN"/>
              </w:rPr>
            </w:pPr>
          </w:p>
          <w:p w14:paraId="4ADDABCA">
            <w:pPr>
              <w:jc w:val="both"/>
              <w:rPr>
                <w:rFonts w:hint="eastAsia" w:ascii="Times New Roman" w:hAnsi="Times New Roman" w:eastAsia="宋体" w:cs="Times New Roman"/>
                <w:color w:val="auto"/>
                <w:vertAlign w:val="baseline"/>
                <w:lang w:eastAsia="zh-CN"/>
              </w:rPr>
            </w:pPr>
          </w:p>
          <w:p w14:paraId="199FAD0B">
            <w:pPr>
              <w:jc w:val="both"/>
              <w:rPr>
                <w:rFonts w:hint="eastAsia" w:ascii="Times New Roman" w:hAnsi="Times New Roman" w:eastAsia="宋体" w:cs="Times New Roman"/>
                <w:color w:val="auto"/>
                <w:vertAlign w:val="baseline"/>
                <w:lang w:eastAsia="zh-CN"/>
              </w:rPr>
            </w:pPr>
          </w:p>
          <w:p w14:paraId="56A949C1">
            <w:pPr>
              <w:jc w:val="both"/>
              <w:rPr>
                <w:rFonts w:hint="eastAsia" w:ascii="Times New Roman" w:hAnsi="Times New Roman" w:eastAsia="宋体" w:cs="Times New Roman"/>
                <w:color w:val="auto"/>
                <w:vertAlign w:val="baseline"/>
                <w:lang w:eastAsia="zh-CN"/>
              </w:rPr>
            </w:pPr>
          </w:p>
          <w:p w14:paraId="04ACA071">
            <w:pPr>
              <w:jc w:val="both"/>
              <w:rPr>
                <w:rFonts w:hint="eastAsia" w:ascii="Times New Roman" w:hAnsi="Times New Roman" w:eastAsia="宋体" w:cs="Times New Roman"/>
                <w:color w:val="auto"/>
                <w:vertAlign w:val="baseline"/>
                <w:lang w:eastAsia="zh-CN"/>
              </w:rPr>
            </w:pPr>
          </w:p>
        </w:tc>
      </w:tr>
    </w:tbl>
    <w:p w14:paraId="5A1190E6">
      <w:pPr>
        <w:rPr>
          <w:rFonts w:ascii="Times New Roman" w:hAnsi="Times New Roman" w:eastAsia="宋体" w:cs="Times New Roman"/>
          <w:color w:val="auto"/>
        </w:rPr>
        <w:sectPr>
          <w:pgSz w:w="16840" w:h="11910" w:orient="landscape"/>
          <w:pgMar w:top="1380" w:right="1600" w:bottom="1380" w:left="1240" w:header="0" w:footer="680" w:gutter="0"/>
          <w:pgBorders>
            <w:top w:val="none" w:sz="0" w:space="0"/>
            <w:left w:val="none" w:sz="0" w:space="0"/>
            <w:bottom w:val="none" w:sz="0" w:space="0"/>
            <w:right w:val="none" w:sz="0" w:space="0"/>
          </w:pgBorders>
          <w:cols w:space="720" w:num="1"/>
          <w:docGrid w:linePitch="299" w:charSpace="0"/>
        </w:sectPr>
      </w:pPr>
    </w:p>
    <w:tbl>
      <w:tblPr>
        <w:tblStyle w:val="32"/>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6"/>
        <w:gridCol w:w="8265"/>
      </w:tblGrid>
      <w:tr w14:paraId="1D11C2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29" w:hRule="atLeast"/>
          <w:jc w:val="center"/>
        </w:trPr>
        <w:tc>
          <w:tcPr>
            <w:tcW w:w="806" w:type="dxa"/>
            <w:tcBorders>
              <w:tl2br w:val="nil"/>
              <w:tr2bl w:val="nil"/>
            </w:tcBorders>
            <w:vAlign w:val="center"/>
          </w:tcPr>
          <w:p w14:paraId="40AB767E">
            <w:pPr>
              <w:pStyle w:val="42"/>
              <w:jc w:val="center"/>
              <w:rPr>
                <w:rFonts w:ascii="Times New Roman" w:hAnsi="Times New Roman" w:eastAsia="宋体" w:cs="Times New Roman"/>
                <w:color w:val="auto"/>
                <w:sz w:val="24"/>
                <w:szCs w:val="24"/>
                <w:lang w:eastAsia="zh-CN"/>
              </w:rPr>
            </w:pPr>
          </w:p>
        </w:tc>
        <w:tc>
          <w:tcPr>
            <w:tcW w:w="8265" w:type="dxa"/>
            <w:tcBorders>
              <w:tl2br w:val="nil"/>
              <w:tr2bl w:val="nil"/>
            </w:tcBorders>
            <w:vAlign w:val="center"/>
          </w:tcPr>
          <w:p w14:paraId="4AAD0F55">
            <w:pPr>
              <w:jc w:val="center"/>
              <w:rPr>
                <w:rFonts w:hint="eastAsia" w:ascii="Times New Roman" w:hAnsi="Times New Roman" w:eastAsia="宋体" w:cs="Times New Roman"/>
                <w:b/>
                <w:color w:val="000000" w:themeColor="text1"/>
                <w:sz w:val="21"/>
                <w:szCs w:val="21"/>
                <w:highlight w:val="none"/>
                <w:lang w:eastAsia="zh-CN"/>
              </w:rPr>
            </w:pPr>
            <w:r>
              <w:rPr>
                <w:rFonts w:ascii="Times New Roman" w:hAnsi="Times New Roman" w:eastAsia="宋体" w:cs="Times New Roman"/>
                <w:b/>
                <w:color w:val="000000" w:themeColor="text1"/>
                <w:sz w:val="21"/>
                <w:szCs w:val="21"/>
                <w:highlight w:val="none"/>
                <w:lang w:eastAsia="zh-CN"/>
              </w:rPr>
              <w:t>表</w:t>
            </w:r>
            <w:r>
              <w:rPr>
                <w:rFonts w:hint="eastAsia" w:ascii="Times New Roman" w:hAnsi="Times New Roman" w:eastAsia="宋体" w:cs="Times New Roman"/>
                <w:b/>
                <w:color w:val="000000" w:themeColor="text1"/>
                <w:sz w:val="21"/>
                <w:szCs w:val="21"/>
                <w:highlight w:val="none"/>
                <w:lang w:eastAsia="zh-CN"/>
              </w:rPr>
              <w:t>4</w:t>
            </w:r>
            <w:r>
              <w:rPr>
                <w:rFonts w:hint="eastAsia" w:ascii="Times New Roman" w:hAnsi="Times New Roman" w:eastAsia="宋体" w:cs="Times New Roman"/>
                <w:b/>
                <w:color w:val="000000" w:themeColor="text1"/>
                <w:sz w:val="21"/>
                <w:szCs w:val="21"/>
                <w:highlight w:val="none"/>
                <w:lang w:val="en-US" w:eastAsia="zh-CN"/>
              </w:rPr>
              <w:t>.6-3</w:t>
            </w:r>
            <w:r>
              <w:rPr>
                <w:rFonts w:hint="eastAsia" w:ascii="Times New Roman" w:hAnsi="Times New Roman" w:eastAsia="宋体" w:cs="Times New Roman"/>
                <w:b/>
                <w:color w:val="000000" w:themeColor="text1"/>
                <w:sz w:val="21"/>
                <w:szCs w:val="21"/>
                <w:highlight w:val="none"/>
                <w:lang w:eastAsia="zh-CN"/>
              </w:rPr>
              <w:t xml:space="preserve">   工业企业噪声源强调查清单（室</w:t>
            </w:r>
            <w:r>
              <w:rPr>
                <w:rFonts w:hint="eastAsia" w:ascii="Times New Roman" w:hAnsi="Times New Roman" w:eastAsia="宋体" w:cs="Times New Roman"/>
                <w:b/>
                <w:color w:val="000000" w:themeColor="text1"/>
                <w:sz w:val="21"/>
                <w:szCs w:val="21"/>
                <w:highlight w:val="none"/>
                <w:lang w:val="en-US" w:eastAsia="zh-CN"/>
              </w:rPr>
              <w:t>外</w:t>
            </w:r>
            <w:r>
              <w:rPr>
                <w:rFonts w:hint="eastAsia" w:ascii="Times New Roman" w:hAnsi="Times New Roman" w:eastAsia="宋体" w:cs="Times New Roman"/>
                <w:b/>
                <w:color w:val="000000" w:themeColor="text1"/>
                <w:sz w:val="21"/>
                <w:szCs w:val="21"/>
                <w:highlight w:val="none"/>
                <w:lang w:eastAsia="zh-CN"/>
              </w:rPr>
              <w:t>声源）</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741"/>
              <w:gridCol w:w="624"/>
              <w:gridCol w:w="1012"/>
              <w:gridCol w:w="820"/>
              <w:gridCol w:w="1016"/>
              <w:gridCol w:w="1066"/>
              <w:gridCol w:w="1016"/>
              <w:gridCol w:w="1207"/>
            </w:tblGrid>
            <w:tr w14:paraId="2CB37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313" w:type="dxa"/>
                  <w:vMerge w:val="restart"/>
                  <w:tcBorders>
                    <w:tl2br w:val="nil"/>
                    <w:tr2bl w:val="nil"/>
                  </w:tcBorders>
                  <w:vAlign w:val="center"/>
                </w:tcPr>
                <w:p w14:paraId="18EFD22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序号</w:t>
                  </w:r>
                </w:p>
              </w:tc>
              <w:tc>
                <w:tcPr>
                  <w:tcW w:w="356" w:type="dxa"/>
                  <w:vMerge w:val="restart"/>
                  <w:tcBorders>
                    <w:tl2br w:val="nil"/>
                    <w:tr2bl w:val="nil"/>
                  </w:tcBorders>
                  <w:vAlign w:val="center"/>
                </w:tcPr>
                <w:p w14:paraId="68D19C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声源名称</w:t>
                  </w:r>
                </w:p>
              </w:tc>
              <w:tc>
                <w:tcPr>
                  <w:tcW w:w="300" w:type="dxa"/>
                  <w:vMerge w:val="restart"/>
                  <w:tcBorders>
                    <w:tl2br w:val="nil"/>
                    <w:tr2bl w:val="nil"/>
                  </w:tcBorders>
                  <w:vAlign w:val="center"/>
                </w:tcPr>
                <w:p w14:paraId="41CECC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型号</w:t>
                  </w:r>
                </w:p>
              </w:tc>
              <w:tc>
                <w:tcPr>
                  <w:tcW w:w="486" w:type="dxa"/>
                  <w:tcBorders>
                    <w:tl2br w:val="nil"/>
                    <w:tr2bl w:val="nil"/>
                  </w:tcBorders>
                  <w:vAlign w:val="center"/>
                </w:tcPr>
                <w:p w14:paraId="3C6866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eastAsia="zh-CN"/>
                    </w:rPr>
                  </w:pPr>
                  <w:r>
                    <w:rPr>
                      <w:rFonts w:hint="default" w:ascii="Times New Roman" w:hAnsi="Times New Roman" w:eastAsia="宋体" w:cs="Times New Roman"/>
                      <w:b w:val="0"/>
                      <w:bCs/>
                      <w:sz w:val="18"/>
                      <w:szCs w:val="18"/>
                      <w:lang w:eastAsia="zh-CN"/>
                    </w:rPr>
                    <w:t>声源源强</w:t>
                  </w:r>
                </w:p>
              </w:tc>
              <w:tc>
                <w:tcPr>
                  <w:tcW w:w="394" w:type="dxa"/>
                  <w:vMerge w:val="restart"/>
                  <w:tcBorders>
                    <w:tl2br w:val="nil"/>
                    <w:tr2bl w:val="nil"/>
                  </w:tcBorders>
                  <w:vAlign w:val="center"/>
                </w:tcPr>
                <w:p w14:paraId="3DE074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声源控制措施</w:t>
                  </w:r>
                </w:p>
              </w:tc>
              <w:tc>
                <w:tcPr>
                  <w:tcW w:w="1488" w:type="dxa"/>
                  <w:gridSpan w:val="3"/>
                  <w:tcBorders>
                    <w:tl2br w:val="nil"/>
                    <w:tr2bl w:val="nil"/>
                  </w:tcBorders>
                  <w:vAlign w:val="center"/>
                </w:tcPr>
                <w:p w14:paraId="2108F4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空间相对位置/m</w:t>
                  </w:r>
                </w:p>
              </w:tc>
              <w:tc>
                <w:tcPr>
                  <w:tcW w:w="580" w:type="dxa"/>
                  <w:vMerge w:val="restart"/>
                  <w:tcBorders>
                    <w:tl2br w:val="nil"/>
                    <w:tr2bl w:val="nil"/>
                  </w:tcBorders>
                  <w:vAlign w:val="center"/>
                </w:tcPr>
                <w:p w14:paraId="3CBB34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运行时段</w:t>
                  </w:r>
                </w:p>
              </w:tc>
            </w:tr>
            <w:tr w14:paraId="4C332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313" w:type="dxa"/>
                  <w:vMerge w:val="continue"/>
                  <w:tcBorders>
                    <w:tl2br w:val="nil"/>
                    <w:tr2bl w:val="nil"/>
                  </w:tcBorders>
                  <w:shd w:val="clear" w:color="auto" w:fill="FFFFFF"/>
                  <w:tcMar>
                    <w:top w:w="0" w:type="dxa"/>
                    <w:left w:w="0" w:type="dxa"/>
                    <w:bottom w:w="0" w:type="dxa"/>
                    <w:right w:w="0" w:type="dxa"/>
                  </w:tcMar>
                  <w:vAlign w:val="center"/>
                </w:tcPr>
                <w:p w14:paraId="1B0DBA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zh-CN"/>
                    </w:rPr>
                  </w:pPr>
                </w:p>
              </w:tc>
              <w:tc>
                <w:tcPr>
                  <w:tcW w:w="356" w:type="dxa"/>
                  <w:vMerge w:val="continue"/>
                  <w:tcBorders>
                    <w:tl2br w:val="nil"/>
                    <w:tr2bl w:val="nil"/>
                  </w:tcBorders>
                  <w:shd w:val="clear" w:color="auto" w:fill="FFFFFF"/>
                  <w:tcMar>
                    <w:top w:w="0" w:type="dxa"/>
                    <w:left w:w="0" w:type="dxa"/>
                    <w:bottom w:w="0" w:type="dxa"/>
                    <w:right w:w="0" w:type="dxa"/>
                  </w:tcMar>
                  <w:vAlign w:val="center"/>
                </w:tcPr>
                <w:p w14:paraId="430B71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p>
              </w:tc>
              <w:tc>
                <w:tcPr>
                  <w:tcW w:w="300" w:type="dxa"/>
                  <w:vMerge w:val="continue"/>
                  <w:tcBorders>
                    <w:tl2br w:val="nil"/>
                    <w:tr2bl w:val="nil"/>
                  </w:tcBorders>
                  <w:shd w:val="clear" w:color="auto" w:fill="FFFFFF"/>
                  <w:tcMar>
                    <w:top w:w="0" w:type="dxa"/>
                    <w:left w:w="0" w:type="dxa"/>
                    <w:bottom w:w="0" w:type="dxa"/>
                    <w:right w:w="0" w:type="dxa"/>
                  </w:tcMar>
                  <w:vAlign w:val="center"/>
                </w:tcPr>
                <w:p w14:paraId="662124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p>
              </w:tc>
              <w:tc>
                <w:tcPr>
                  <w:tcW w:w="486" w:type="dxa"/>
                  <w:tcBorders>
                    <w:tl2br w:val="nil"/>
                    <w:tr2bl w:val="nil"/>
                  </w:tcBorders>
                  <w:shd w:val="clear" w:color="auto" w:fill="FFFFFF"/>
                  <w:tcMar>
                    <w:top w:w="0" w:type="dxa"/>
                    <w:left w:w="0" w:type="dxa"/>
                    <w:bottom w:w="0" w:type="dxa"/>
                    <w:right w:w="0" w:type="dxa"/>
                  </w:tcMar>
                  <w:vAlign w:val="center"/>
                </w:tcPr>
                <w:p w14:paraId="59E63D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声功率级/dB(A)</w:t>
                  </w:r>
                </w:p>
              </w:tc>
              <w:tc>
                <w:tcPr>
                  <w:tcW w:w="394" w:type="dxa"/>
                  <w:vMerge w:val="continue"/>
                  <w:tcBorders>
                    <w:tl2br w:val="nil"/>
                    <w:tr2bl w:val="nil"/>
                  </w:tcBorders>
                  <w:shd w:val="clear" w:color="auto" w:fill="FFFFFF"/>
                  <w:tcMar>
                    <w:top w:w="0" w:type="dxa"/>
                    <w:left w:w="0" w:type="dxa"/>
                    <w:bottom w:w="0" w:type="dxa"/>
                    <w:right w:w="0" w:type="dxa"/>
                  </w:tcMar>
                  <w:vAlign w:val="center"/>
                </w:tcPr>
                <w:p w14:paraId="713879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p>
              </w:tc>
              <w:tc>
                <w:tcPr>
                  <w:tcW w:w="488" w:type="dxa"/>
                  <w:tcBorders>
                    <w:tl2br w:val="nil"/>
                    <w:tr2bl w:val="nil"/>
                  </w:tcBorders>
                  <w:shd w:val="clear" w:color="auto" w:fill="FFFFFF"/>
                  <w:tcMar>
                    <w:top w:w="0" w:type="dxa"/>
                    <w:left w:w="0" w:type="dxa"/>
                    <w:bottom w:w="0" w:type="dxa"/>
                    <w:right w:w="0" w:type="dxa"/>
                  </w:tcMar>
                  <w:vAlign w:val="center"/>
                </w:tcPr>
                <w:p w14:paraId="6A1815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X</w:t>
                  </w:r>
                </w:p>
              </w:tc>
              <w:tc>
                <w:tcPr>
                  <w:tcW w:w="512" w:type="dxa"/>
                  <w:tcBorders>
                    <w:tl2br w:val="nil"/>
                    <w:tr2bl w:val="nil"/>
                  </w:tcBorders>
                  <w:shd w:val="clear" w:color="auto" w:fill="FFFFFF"/>
                  <w:tcMar>
                    <w:top w:w="0" w:type="dxa"/>
                    <w:left w:w="0" w:type="dxa"/>
                    <w:bottom w:w="0" w:type="dxa"/>
                    <w:right w:w="0" w:type="dxa"/>
                  </w:tcMar>
                  <w:vAlign w:val="center"/>
                </w:tcPr>
                <w:p w14:paraId="728D0D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Y</w:t>
                  </w:r>
                </w:p>
              </w:tc>
              <w:tc>
                <w:tcPr>
                  <w:tcW w:w="488" w:type="dxa"/>
                  <w:tcBorders>
                    <w:tl2br w:val="nil"/>
                    <w:tr2bl w:val="nil"/>
                  </w:tcBorders>
                  <w:shd w:val="clear" w:color="auto" w:fill="FFFFFF"/>
                  <w:tcMar>
                    <w:top w:w="0" w:type="dxa"/>
                    <w:left w:w="0" w:type="dxa"/>
                    <w:bottom w:w="0" w:type="dxa"/>
                    <w:right w:w="0" w:type="dxa"/>
                  </w:tcMar>
                  <w:vAlign w:val="center"/>
                </w:tcPr>
                <w:p w14:paraId="57DCBE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Z</w:t>
                  </w:r>
                </w:p>
              </w:tc>
              <w:tc>
                <w:tcPr>
                  <w:tcW w:w="580" w:type="dxa"/>
                  <w:vMerge w:val="continue"/>
                  <w:tcBorders>
                    <w:tl2br w:val="nil"/>
                    <w:tr2bl w:val="nil"/>
                  </w:tcBorders>
                  <w:shd w:val="clear" w:color="auto" w:fill="FFFFFF"/>
                  <w:tcMar>
                    <w:top w:w="0" w:type="dxa"/>
                    <w:left w:w="0" w:type="dxa"/>
                    <w:bottom w:w="0" w:type="dxa"/>
                    <w:right w:w="0" w:type="dxa"/>
                  </w:tcMar>
                  <w:vAlign w:val="center"/>
                </w:tcPr>
                <w:p w14:paraId="708BD8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p>
              </w:tc>
            </w:tr>
            <w:tr w14:paraId="47439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313" w:type="dxa"/>
                  <w:tcBorders>
                    <w:tl2br w:val="nil"/>
                    <w:tr2bl w:val="nil"/>
                  </w:tcBorders>
                  <w:shd w:val="clear" w:color="auto" w:fill="FFFFFF"/>
                  <w:tcMar>
                    <w:top w:w="0" w:type="dxa"/>
                    <w:left w:w="0" w:type="dxa"/>
                    <w:bottom w:w="0" w:type="dxa"/>
                    <w:right w:w="0" w:type="dxa"/>
                  </w:tcMar>
                  <w:vAlign w:val="center"/>
                </w:tcPr>
                <w:p w14:paraId="7CE83B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1</w:t>
                  </w:r>
                </w:p>
              </w:tc>
              <w:tc>
                <w:tcPr>
                  <w:tcW w:w="356" w:type="dxa"/>
                  <w:tcBorders>
                    <w:tl2br w:val="nil"/>
                    <w:tr2bl w:val="nil"/>
                  </w:tcBorders>
                  <w:shd w:val="clear" w:color="auto" w:fill="FFFFFF"/>
                  <w:tcMar>
                    <w:top w:w="0" w:type="dxa"/>
                    <w:left w:w="0" w:type="dxa"/>
                    <w:bottom w:w="0" w:type="dxa"/>
                    <w:right w:w="0" w:type="dxa"/>
                  </w:tcMar>
                  <w:vAlign w:val="center"/>
                </w:tcPr>
                <w:p w14:paraId="2840ED7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风机</w:t>
                  </w:r>
                </w:p>
              </w:tc>
              <w:tc>
                <w:tcPr>
                  <w:tcW w:w="300" w:type="dxa"/>
                  <w:tcBorders>
                    <w:tl2br w:val="nil"/>
                    <w:tr2bl w:val="nil"/>
                  </w:tcBorders>
                  <w:shd w:val="clear" w:color="auto" w:fill="FFFFFF"/>
                  <w:tcMar>
                    <w:top w:w="0" w:type="dxa"/>
                    <w:left w:w="0" w:type="dxa"/>
                    <w:bottom w:w="0" w:type="dxa"/>
                    <w:right w:w="0" w:type="dxa"/>
                  </w:tcMar>
                  <w:vAlign w:val="center"/>
                </w:tcPr>
                <w:p w14:paraId="3AF5F5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rPr>
                  </w:pPr>
                  <w:r>
                    <w:rPr>
                      <w:rFonts w:hint="eastAsia" w:ascii="Times New Roman" w:hAnsi="Times New Roman" w:eastAsia="宋体" w:cs="Times New Roman"/>
                      <w:b w:val="0"/>
                      <w:bCs/>
                      <w:sz w:val="18"/>
                      <w:szCs w:val="18"/>
                      <w:lang w:val="en-US" w:eastAsia="zh-CN"/>
                    </w:rPr>
                    <w:t>/</w:t>
                  </w:r>
                </w:p>
              </w:tc>
              <w:tc>
                <w:tcPr>
                  <w:tcW w:w="486" w:type="dxa"/>
                  <w:tcBorders>
                    <w:tl2br w:val="nil"/>
                    <w:tr2bl w:val="nil"/>
                  </w:tcBorders>
                  <w:shd w:val="clear" w:color="auto" w:fill="FFFFFF"/>
                  <w:tcMar>
                    <w:top w:w="0" w:type="dxa"/>
                    <w:left w:w="0" w:type="dxa"/>
                    <w:bottom w:w="0" w:type="dxa"/>
                    <w:right w:w="0" w:type="dxa"/>
                  </w:tcMar>
                  <w:vAlign w:val="center"/>
                </w:tcPr>
                <w:p w14:paraId="7B1951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en-US"/>
                    </w:rPr>
                  </w:pPr>
                  <w:r>
                    <w:rPr>
                      <w:rFonts w:hint="eastAsia" w:ascii="Times New Roman" w:hAnsi="Times New Roman" w:eastAsia="宋体" w:cs="Times New Roman"/>
                      <w:b w:val="0"/>
                      <w:bCs/>
                      <w:sz w:val="18"/>
                      <w:szCs w:val="18"/>
                      <w:lang w:val="en-US" w:eastAsia="zh-CN"/>
                    </w:rPr>
                    <w:t>75</w:t>
                  </w:r>
                </w:p>
              </w:tc>
              <w:tc>
                <w:tcPr>
                  <w:tcW w:w="394" w:type="dxa"/>
                  <w:tcBorders>
                    <w:tl2br w:val="nil"/>
                    <w:tr2bl w:val="nil"/>
                  </w:tcBorders>
                  <w:shd w:val="clear" w:color="auto" w:fill="FFFFFF"/>
                  <w:tcMar>
                    <w:top w:w="0" w:type="dxa"/>
                    <w:left w:w="0" w:type="dxa"/>
                    <w:bottom w:w="0" w:type="dxa"/>
                    <w:right w:w="0" w:type="dxa"/>
                  </w:tcMar>
                  <w:vAlign w:val="center"/>
                </w:tcPr>
                <w:p w14:paraId="5E6BE6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w:t>
                  </w:r>
                </w:p>
              </w:tc>
              <w:tc>
                <w:tcPr>
                  <w:tcW w:w="488" w:type="dxa"/>
                  <w:tcBorders>
                    <w:tl2br w:val="nil"/>
                    <w:tr2bl w:val="nil"/>
                  </w:tcBorders>
                  <w:shd w:val="clear" w:color="auto" w:fill="FFFFFF"/>
                  <w:tcMar>
                    <w:top w:w="0" w:type="dxa"/>
                    <w:left w:w="0" w:type="dxa"/>
                    <w:bottom w:w="0" w:type="dxa"/>
                    <w:right w:w="0" w:type="dxa"/>
                  </w:tcMar>
                  <w:vAlign w:val="center"/>
                </w:tcPr>
                <w:p w14:paraId="07C641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268.28</w:t>
                  </w:r>
                </w:p>
              </w:tc>
              <w:tc>
                <w:tcPr>
                  <w:tcW w:w="512" w:type="dxa"/>
                  <w:tcBorders>
                    <w:tl2br w:val="nil"/>
                    <w:tr2bl w:val="nil"/>
                  </w:tcBorders>
                  <w:shd w:val="clear" w:color="auto" w:fill="FFFFFF"/>
                  <w:tcMar>
                    <w:top w:w="0" w:type="dxa"/>
                    <w:left w:w="0" w:type="dxa"/>
                    <w:bottom w:w="0" w:type="dxa"/>
                    <w:right w:w="0" w:type="dxa"/>
                  </w:tcMar>
                  <w:vAlign w:val="center"/>
                </w:tcPr>
                <w:p w14:paraId="4C3D05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192.01</w:t>
                  </w:r>
                </w:p>
              </w:tc>
              <w:tc>
                <w:tcPr>
                  <w:tcW w:w="488" w:type="dxa"/>
                  <w:tcBorders>
                    <w:tl2br w:val="nil"/>
                    <w:tr2bl w:val="nil"/>
                  </w:tcBorders>
                  <w:shd w:val="clear" w:color="auto" w:fill="FFFFFF"/>
                  <w:tcMar>
                    <w:top w:w="0" w:type="dxa"/>
                    <w:left w:w="0" w:type="dxa"/>
                    <w:bottom w:w="0" w:type="dxa"/>
                    <w:right w:w="0" w:type="dxa"/>
                  </w:tcMar>
                  <w:vAlign w:val="center"/>
                </w:tcPr>
                <w:p w14:paraId="4E7EAB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1</w:t>
                  </w:r>
                </w:p>
              </w:tc>
              <w:tc>
                <w:tcPr>
                  <w:tcW w:w="580" w:type="dxa"/>
                  <w:tcBorders>
                    <w:tl2br w:val="nil"/>
                    <w:tr2bl w:val="nil"/>
                  </w:tcBorders>
                  <w:shd w:val="clear" w:color="auto" w:fill="FFFFFF"/>
                  <w:tcMar>
                    <w:top w:w="0" w:type="dxa"/>
                    <w:left w:w="0" w:type="dxa"/>
                    <w:bottom w:w="0" w:type="dxa"/>
                    <w:right w:w="0" w:type="dxa"/>
                  </w:tcMar>
                  <w:vAlign w:val="center"/>
                </w:tcPr>
                <w:p w14:paraId="267C6D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昼夜</w:t>
                  </w:r>
                </w:p>
              </w:tc>
            </w:tr>
          </w:tbl>
          <w:p w14:paraId="36FABD29">
            <w:pPr>
              <w:pStyle w:val="51"/>
              <w:adjustRightInd/>
              <w:snapToGrid/>
              <w:spacing w:line="360" w:lineRule="auto"/>
              <w:ind w:firstLine="480" w:firstLineChars="200"/>
              <w:rPr>
                <w:rFonts w:ascii="Times New Roman" w:hAnsi="Times New Roman" w:eastAsia="宋体" w:cs="Times New Roman"/>
                <w:color w:val="000000" w:themeColor="text1"/>
                <w:szCs w:val="24"/>
                <w:lang w:eastAsia="zh-CN"/>
              </w:rPr>
            </w:pPr>
            <w:r>
              <w:rPr>
                <w:rFonts w:hint="eastAsia" w:ascii="Times New Roman" w:hAnsi="Times New Roman" w:eastAsia="宋体" w:cs="Times New Roman"/>
                <w:color w:val="000000" w:themeColor="text1"/>
                <w:szCs w:val="24"/>
                <w:lang w:eastAsia="zh-CN"/>
              </w:rPr>
              <w:t>（2）厂界达标性分析</w:t>
            </w:r>
          </w:p>
          <w:p w14:paraId="1C759427">
            <w:pPr>
              <w:pStyle w:val="51"/>
              <w:adjustRightInd/>
              <w:snapToGrid/>
              <w:spacing w:line="360" w:lineRule="auto"/>
              <w:ind w:firstLine="480" w:firstLineChars="200"/>
              <w:jc w:val="both"/>
              <w:rPr>
                <w:rFonts w:hint="default" w:ascii="Times New Roman" w:hAnsi="Times New Roman" w:eastAsia="宋体" w:cs="Times New Roman"/>
                <w:bCs/>
                <w:color w:val="000000" w:themeColor="text1"/>
                <w:lang w:val="en-US" w:eastAsia="zh-CN"/>
              </w:rPr>
            </w:pPr>
            <w:r>
              <w:rPr>
                <w:rFonts w:hint="default" w:ascii="Times New Roman" w:hAnsi="Times New Roman" w:eastAsia="宋体" w:cs="Times New Roman"/>
                <w:bCs/>
                <w:color w:val="000000" w:themeColor="text1"/>
                <w:lang w:eastAsia="zh-CN"/>
              </w:rPr>
              <w:t>环评采用的模型</w:t>
            </w:r>
            <w:r>
              <w:rPr>
                <w:rFonts w:hint="default" w:ascii="Times New Roman" w:hAnsi="Times New Roman" w:eastAsia="宋体" w:cs="Times New Roman"/>
                <w:bCs/>
                <w:color w:val="000000" w:themeColor="text1"/>
                <w:lang w:val="en-US" w:eastAsia="zh-CN"/>
              </w:rPr>
              <w:t>参照</w:t>
            </w:r>
            <w:r>
              <w:rPr>
                <w:rFonts w:hint="default" w:ascii="Times New Roman" w:hAnsi="Times New Roman" w:eastAsia="宋体" w:cs="Times New Roman"/>
                <w:bCs/>
                <w:color w:val="000000" w:themeColor="text1"/>
                <w:lang w:eastAsia="zh-CN"/>
              </w:rPr>
              <w:t>《环境影响评价技术导则 声环境》(HJ2.4.2021)附录A（规范性附录）户外声传播的衰减和附录B（规范性附录）中“B.1工业噪声预测计算模型”，</w:t>
            </w:r>
            <w:r>
              <w:rPr>
                <w:rFonts w:hint="default" w:ascii="Times New Roman" w:hAnsi="Times New Roman" w:eastAsia="宋体" w:cs="Times New Roman"/>
                <w:bCs/>
                <w:color w:val="000000" w:themeColor="text1"/>
                <w:lang w:val="en-US" w:eastAsia="zh-CN"/>
              </w:rPr>
              <w:t>基本公式为：</w:t>
            </w:r>
          </w:p>
          <w:p w14:paraId="15899581">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1）单个噪声源在预测点的声压级计算</w:t>
            </w:r>
          </w:p>
          <w:p w14:paraId="3E62907B">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某个噪声源在预测点的声压级为：</w:t>
            </w:r>
            <w:r>
              <w:rPr>
                <w:rFonts w:hint="default" w:ascii="Times New Roman" w:hAnsi="Times New Roman" w:cs="Times New Roman"/>
              </w:rPr>
              <w:drawing>
                <wp:anchor distT="0" distB="0" distL="114300" distR="114300" simplePos="0" relativeHeight="251661312" behindDoc="0" locked="0" layoutInCell="1" allowOverlap="1">
                  <wp:simplePos x="0" y="0"/>
                  <wp:positionH relativeFrom="column">
                    <wp:posOffset>2586355</wp:posOffset>
                  </wp:positionH>
                  <wp:positionV relativeFrom="paragraph">
                    <wp:posOffset>-635</wp:posOffset>
                  </wp:positionV>
                  <wp:extent cx="2162175" cy="276225"/>
                  <wp:effectExtent l="0" t="0" r="9525" b="952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162175" cy="276225"/>
                          </a:xfrm>
                          <a:prstGeom prst="rect">
                            <a:avLst/>
                          </a:prstGeom>
                        </pic:spPr>
                      </pic:pic>
                    </a:graphicData>
                  </a:graphic>
                </wp:anchor>
              </w:drawing>
            </w:r>
          </w:p>
          <w:p w14:paraId="2F995767">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式中：Lp(r)—噪声源在预测点的声压级，dB(A)；</w:t>
            </w:r>
          </w:p>
          <w:p w14:paraId="7A56F5EC">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Lp(r0)—参考位置 r 0 处的声压级，dB(A)；</w:t>
            </w:r>
          </w:p>
          <w:p w14:paraId="17A99CA6">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r0—参考位置距声源中心的位置，m；</w:t>
            </w:r>
          </w:p>
          <w:p w14:paraId="0FD2C845">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r—声源中心至预测点的距离，m；</w:t>
            </w:r>
          </w:p>
          <w:p w14:paraId="5A66B296">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w:t>
            </w:r>
            <w:r>
              <w:rPr>
                <w:rFonts w:hint="eastAsia" w:ascii="Times New Roman" w:hAnsi="Times New Roman" w:eastAsia="宋体" w:cs="Times New Roman"/>
                <w:sz w:val="24"/>
                <w:lang w:val="en-US" w:eastAsia="zh-CN"/>
              </w:rPr>
              <w:t xml:space="preserve">       △</w:t>
            </w:r>
            <w:r>
              <w:rPr>
                <w:rFonts w:hint="default" w:ascii="Times New Roman" w:hAnsi="Times New Roman" w:cs="Times New Roman"/>
                <w:sz w:val="24"/>
              </w:rPr>
              <w:t>L —各种因素引起的声衰减量（如声屏障，遮挡物，空气吸收，地面吸收等引起的声衰减），dB(A)。</w:t>
            </w:r>
          </w:p>
          <w:p w14:paraId="7C0557D3">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2）噪声贡献值计算</w:t>
            </w:r>
          </w:p>
          <w:p w14:paraId="25498ECC">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w:t>
            </w:r>
            <w:r>
              <w:rPr>
                <w:rFonts w:hint="default" w:ascii="Times New Roman" w:hAnsi="Times New Roman" w:cs="Times New Roman"/>
              </w:rPr>
              <w:t xml:space="preserve"> </w:t>
            </w:r>
            <w:r>
              <w:rPr>
                <w:rFonts w:hint="default" w:ascii="Times New Roman" w:hAnsi="Times New Roman" w:cs="Times New Roman"/>
              </w:rPr>
              <w:drawing>
                <wp:inline distT="0" distB="0" distL="0" distR="0">
                  <wp:extent cx="3124200" cy="5334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4"/>
                          <a:stretch>
                            <a:fillRect/>
                          </a:stretch>
                        </pic:blipFill>
                        <pic:spPr>
                          <a:xfrm>
                            <a:off x="0" y="0"/>
                            <a:ext cx="3124200" cy="533400"/>
                          </a:xfrm>
                          <a:prstGeom prst="rect">
                            <a:avLst/>
                          </a:prstGeom>
                        </pic:spPr>
                      </pic:pic>
                    </a:graphicData>
                  </a:graphic>
                </wp:inline>
              </w:drawing>
            </w:r>
          </w:p>
          <w:p w14:paraId="0E632ADE">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式中：L</w:t>
            </w:r>
            <w:r>
              <w:rPr>
                <w:rFonts w:hint="default" w:ascii="Times New Roman" w:hAnsi="Times New Roman" w:cs="Times New Roman"/>
                <w:sz w:val="24"/>
                <w:vertAlign w:val="subscript"/>
              </w:rPr>
              <w:t xml:space="preserve"> eqg</w:t>
            </w:r>
            <w:r>
              <w:rPr>
                <w:rFonts w:hint="default" w:ascii="Times New Roman" w:hAnsi="Times New Roman" w:cs="Times New Roman"/>
                <w:sz w:val="24"/>
              </w:rPr>
              <w:t>——建设项目声源在预测点的等效声级贡献值，dB(A)；</w:t>
            </w:r>
          </w:p>
          <w:p w14:paraId="317F96A3">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T——预测计算的时间段，s；</w:t>
            </w:r>
          </w:p>
          <w:p w14:paraId="60784229">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 xml:space="preserve">L </w:t>
            </w:r>
            <w:r>
              <w:rPr>
                <w:rFonts w:hint="default" w:ascii="Times New Roman" w:hAnsi="Times New Roman" w:cs="Times New Roman"/>
                <w:sz w:val="24"/>
                <w:vertAlign w:val="subscript"/>
              </w:rPr>
              <w:t xml:space="preserve">Ａ i </w:t>
            </w:r>
            <w:r>
              <w:rPr>
                <w:rFonts w:hint="default" w:ascii="Times New Roman" w:hAnsi="Times New Roman" w:cs="Times New Roman"/>
                <w:sz w:val="24"/>
              </w:rPr>
              <w:t>——第 i 个室外声源在预测点产生的Ａ声级，dB(A)；</w:t>
            </w:r>
          </w:p>
          <w:p w14:paraId="0A4CA75E">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t</w:t>
            </w:r>
            <w:r>
              <w:rPr>
                <w:rFonts w:hint="default" w:ascii="Times New Roman" w:hAnsi="Times New Roman" w:cs="Times New Roman"/>
                <w:sz w:val="24"/>
                <w:vertAlign w:val="subscript"/>
              </w:rPr>
              <w:t xml:space="preserve"> i</w:t>
            </w:r>
            <w:r>
              <w:rPr>
                <w:rFonts w:hint="default" w:ascii="Times New Roman" w:hAnsi="Times New Roman" w:cs="Times New Roman"/>
                <w:sz w:val="24"/>
              </w:rPr>
              <w:t xml:space="preserve"> ——在 T 时间内 i 声源工作的时间，s；</w:t>
            </w:r>
          </w:p>
          <w:p w14:paraId="5268E679">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 xml:space="preserve">L </w:t>
            </w:r>
            <w:r>
              <w:rPr>
                <w:rFonts w:hint="default" w:ascii="Times New Roman" w:hAnsi="Times New Roman" w:cs="Times New Roman"/>
                <w:sz w:val="24"/>
                <w:vertAlign w:val="subscript"/>
              </w:rPr>
              <w:t xml:space="preserve">Ａ j </w:t>
            </w:r>
            <w:r>
              <w:rPr>
                <w:rFonts w:hint="default" w:ascii="Times New Roman" w:hAnsi="Times New Roman" w:cs="Times New Roman"/>
                <w:sz w:val="24"/>
              </w:rPr>
              <w:t>——第 j 个等效室外声源在预测点产生的Ａ声级，dB(A)；</w:t>
            </w:r>
          </w:p>
          <w:p w14:paraId="6712431B">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t j ——在 T 时间内 j 声源工作的时间，s；</w:t>
            </w:r>
          </w:p>
          <w:p w14:paraId="0215EF27">
            <w:pPr>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N——室外声源个数；</w:t>
            </w:r>
          </w:p>
          <w:p w14:paraId="763AA05A">
            <w:pPr>
              <w:pStyle w:val="51"/>
              <w:adjustRightInd/>
              <w:snapToGrid/>
              <w:spacing w:line="360" w:lineRule="auto"/>
              <w:ind w:firstLine="1094" w:firstLineChars="456"/>
              <w:jc w:val="both"/>
              <w:rPr>
                <w:rFonts w:hint="default" w:ascii="Times New Roman" w:hAnsi="Times New Roman" w:eastAsia="宋体" w:cs="Times New Roman"/>
                <w:bCs/>
                <w:color w:val="000000" w:themeColor="text1"/>
                <w:lang w:eastAsia="zh-CN"/>
              </w:rPr>
            </w:pPr>
            <w:r>
              <w:rPr>
                <w:rFonts w:hint="default" w:ascii="Times New Roman" w:hAnsi="Times New Roman" w:cs="Times New Roman"/>
                <w:sz w:val="24"/>
              </w:rPr>
              <w:t>M——等效室外声源个数。</w:t>
            </w:r>
          </w:p>
          <w:p w14:paraId="07549DB3">
            <w:pPr>
              <w:pStyle w:val="51"/>
              <w:adjustRightInd/>
              <w:snapToGrid/>
              <w:spacing w:line="360" w:lineRule="auto"/>
              <w:ind w:firstLine="480" w:firstLineChars="200"/>
              <w:jc w:val="both"/>
              <w:rPr>
                <w:rFonts w:hint="default" w:ascii="Times New Roman" w:hAnsi="Times New Roman" w:eastAsia="宋体" w:cs="Times New Roman"/>
                <w:color w:val="000000" w:themeColor="text1"/>
                <w:szCs w:val="24"/>
                <w:lang w:eastAsia="zh-CN"/>
              </w:rPr>
            </w:pPr>
            <w:r>
              <w:rPr>
                <w:rFonts w:hint="default" w:ascii="Times New Roman" w:hAnsi="Times New Roman" w:eastAsia="宋体" w:cs="Times New Roman"/>
                <w:color w:val="000000" w:themeColor="text1"/>
                <w:szCs w:val="24"/>
                <w:lang w:eastAsia="zh-CN"/>
              </w:rPr>
              <w:t>本项目各厂界噪声预测结果见下表。</w:t>
            </w:r>
          </w:p>
          <w:p w14:paraId="637FD190">
            <w:pPr>
              <w:jc w:val="center"/>
              <w:rPr>
                <w:rFonts w:ascii="Times New Roman" w:hAnsi="Times New Roman" w:eastAsia="宋体" w:cs="Times New Roman"/>
                <w:b/>
                <w:color w:val="000000" w:themeColor="text1"/>
                <w:sz w:val="21"/>
                <w:szCs w:val="21"/>
                <w:lang w:eastAsia="zh-CN"/>
              </w:rPr>
            </w:pPr>
          </w:p>
          <w:p w14:paraId="4CC399DA">
            <w:pPr>
              <w:jc w:val="center"/>
              <w:rPr>
                <w:rFonts w:ascii="Times New Roman" w:hAnsi="Times New Roman" w:eastAsia="宋体" w:cs="Times New Roman"/>
                <w:b/>
                <w:color w:val="000000" w:themeColor="text1"/>
                <w:sz w:val="21"/>
                <w:szCs w:val="21"/>
                <w:lang w:eastAsia="zh-CN"/>
              </w:rPr>
            </w:pPr>
          </w:p>
          <w:p w14:paraId="47B13601">
            <w:pPr>
              <w:jc w:val="center"/>
              <w:rPr>
                <w:rFonts w:ascii="Times New Roman" w:hAnsi="Times New Roman" w:eastAsia="宋体" w:cs="Times New Roman"/>
                <w:b/>
                <w:color w:val="000000" w:themeColor="text1"/>
                <w:sz w:val="21"/>
                <w:szCs w:val="21"/>
                <w:lang w:eastAsia="zh-CN"/>
              </w:rPr>
            </w:pPr>
          </w:p>
          <w:p w14:paraId="0C9974C9">
            <w:pPr>
              <w:jc w:val="center"/>
              <w:rPr>
                <w:rFonts w:ascii="Times New Roman" w:hAnsi="Times New Roman" w:eastAsia="宋体" w:cs="Times New Roman"/>
                <w:b/>
                <w:color w:val="000000" w:themeColor="text1"/>
                <w:sz w:val="21"/>
                <w:szCs w:val="21"/>
                <w:lang w:eastAsia="zh-CN"/>
              </w:rPr>
            </w:pPr>
          </w:p>
          <w:p w14:paraId="7AADAD2A">
            <w:pPr>
              <w:jc w:val="center"/>
              <w:rPr>
                <w:rFonts w:ascii="Times New Roman" w:hAnsi="Times New Roman" w:eastAsia="宋体" w:cs="Times New Roman"/>
                <w:b/>
                <w:color w:val="000000" w:themeColor="text1"/>
                <w:sz w:val="21"/>
                <w:szCs w:val="21"/>
                <w:lang w:eastAsia="zh-CN"/>
              </w:rPr>
            </w:pPr>
          </w:p>
          <w:p w14:paraId="1B5DB712">
            <w:pPr>
              <w:jc w:val="center"/>
              <w:rPr>
                <w:rFonts w:ascii="Times New Roman" w:hAnsi="Times New Roman" w:eastAsia="宋体" w:cs="Times New Roman"/>
                <w:b/>
                <w:color w:val="000000" w:themeColor="text1"/>
                <w:sz w:val="21"/>
                <w:szCs w:val="21"/>
                <w:lang w:eastAsia="zh-CN"/>
              </w:rPr>
            </w:pPr>
            <w:r>
              <w:rPr>
                <w:rFonts w:ascii="Times New Roman" w:hAnsi="Times New Roman" w:eastAsia="宋体" w:cs="Times New Roman"/>
                <w:b/>
                <w:color w:val="000000" w:themeColor="text1"/>
                <w:sz w:val="21"/>
                <w:szCs w:val="21"/>
                <w:lang w:eastAsia="zh-CN"/>
              </w:rPr>
              <w:t>表</w:t>
            </w:r>
            <w:r>
              <w:rPr>
                <w:rFonts w:hint="eastAsia" w:ascii="Times New Roman" w:hAnsi="Times New Roman" w:eastAsia="宋体" w:cs="Times New Roman"/>
                <w:b/>
                <w:color w:val="auto"/>
                <w:sz w:val="21"/>
                <w:szCs w:val="21"/>
                <w:lang w:eastAsia="zh-CN"/>
              </w:rPr>
              <w:t>4</w:t>
            </w:r>
            <w:r>
              <w:rPr>
                <w:rFonts w:hint="eastAsia" w:ascii="Times New Roman" w:hAnsi="Times New Roman" w:eastAsia="宋体" w:cs="Times New Roman"/>
                <w:b/>
                <w:color w:val="auto"/>
                <w:sz w:val="21"/>
                <w:szCs w:val="21"/>
                <w:lang w:val="en-US" w:eastAsia="zh-CN"/>
              </w:rPr>
              <w:t>.6-4</w:t>
            </w:r>
            <w:r>
              <w:rPr>
                <w:rFonts w:hint="eastAsia" w:ascii="Times New Roman" w:hAnsi="Times New Roman" w:eastAsia="宋体" w:cs="Times New Roman"/>
                <w:b/>
                <w:color w:val="auto"/>
                <w:sz w:val="21"/>
                <w:szCs w:val="21"/>
                <w:lang w:eastAsia="zh-CN"/>
              </w:rPr>
              <w:t xml:space="preserve"> </w:t>
            </w:r>
            <w:r>
              <w:rPr>
                <w:rFonts w:hint="eastAsia" w:ascii="Times New Roman" w:hAnsi="Times New Roman" w:eastAsia="宋体" w:cs="Times New Roman"/>
                <w:b/>
                <w:color w:val="000000" w:themeColor="text1"/>
                <w:sz w:val="21"/>
                <w:szCs w:val="21"/>
                <w:lang w:eastAsia="zh-CN"/>
              </w:rPr>
              <w:t xml:space="preserve"> 厂界噪声预测结果与达标分析表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847"/>
              <w:gridCol w:w="838"/>
              <w:gridCol w:w="702"/>
              <w:gridCol w:w="881"/>
              <w:gridCol w:w="1004"/>
              <w:gridCol w:w="1173"/>
              <w:gridCol w:w="1406"/>
            </w:tblGrid>
            <w:tr w14:paraId="2307D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1" w:type="dxa"/>
                  <w:vMerge w:val="restart"/>
                  <w:tcBorders>
                    <w:tl2br w:val="nil"/>
                    <w:tr2bl w:val="nil"/>
                  </w:tcBorders>
                  <w:vAlign w:val="center"/>
                </w:tcPr>
                <w:p w14:paraId="425575B0">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预测方位</w:t>
                  </w:r>
                </w:p>
              </w:tc>
              <w:tc>
                <w:tcPr>
                  <w:tcW w:w="1928" w:type="dxa"/>
                  <w:gridSpan w:val="3"/>
                  <w:tcBorders>
                    <w:tl2br w:val="nil"/>
                    <w:tr2bl w:val="nil"/>
                  </w:tcBorders>
                  <w:vAlign w:val="center"/>
                </w:tcPr>
                <w:p w14:paraId="7635C6D2">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val="en-US" w:eastAsia="zh-CN"/>
                    </w:rPr>
                    <w:t>最大值点</w:t>
                  </w:r>
                  <w:r>
                    <w:rPr>
                      <w:rFonts w:hint="eastAsia" w:ascii="Times New Roman" w:hAnsi="Times New Roman" w:eastAsia="宋体" w:cs="Times New Roman"/>
                      <w:color w:val="000000" w:themeColor="text1"/>
                      <w:sz w:val="21"/>
                      <w:szCs w:val="21"/>
                      <w:lang w:eastAsia="zh-CN"/>
                    </w:rPr>
                    <w:t>空间相对位置/m</w:t>
                  </w:r>
                </w:p>
              </w:tc>
              <w:tc>
                <w:tcPr>
                  <w:tcW w:w="711" w:type="dxa"/>
                  <w:vMerge w:val="restart"/>
                  <w:tcBorders>
                    <w:tl2br w:val="nil"/>
                    <w:tr2bl w:val="nil"/>
                  </w:tcBorders>
                  <w:vAlign w:val="center"/>
                </w:tcPr>
                <w:p w14:paraId="59A8B573">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时段</w:t>
                  </w:r>
                </w:p>
              </w:tc>
              <w:tc>
                <w:tcPr>
                  <w:tcW w:w="811" w:type="dxa"/>
                  <w:vMerge w:val="restart"/>
                  <w:tcBorders>
                    <w:tl2br w:val="nil"/>
                    <w:tr2bl w:val="nil"/>
                  </w:tcBorders>
                  <w:vAlign w:val="center"/>
                </w:tcPr>
                <w:p w14:paraId="616C7A4F">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贡献值（dB(A)）</w:t>
                  </w:r>
                </w:p>
              </w:tc>
              <w:tc>
                <w:tcPr>
                  <w:tcW w:w="947" w:type="dxa"/>
                  <w:vMerge w:val="restart"/>
                  <w:tcBorders>
                    <w:tl2br w:val="nil"/>
                    <w:tr2bl w:val="nil"/>
                  </w:tcBorders>
                  <w:vAlign w:val="center"/>
                </w:tcPr>
                <w:p w14:paraId="0BA0F6FC">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标准限值（dB(A)）</w:t>
                  </w:r>
                </w:p>
              </w:tc>
              <w:tc>
                <w:tcPr>
                  <w:tcW w:w="1135" w:type="dxa"/>
                  <w:vMerge w:val="restart"/>
                  <w:tcBorders>
                    <w:tl2br w:val="nil"/>
                    <w:tr2bl w:val="nil"/>
                  </w:tcBorders>
                  <w:vAlign w:val="center"/>
                </w:tcPr>
                <w:p w14:paraId="63CB9407">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达标情况</w:t>
                  </w:r>
                </w:p>
              </w:tc>
            </w:tr>
            <w:tr w14:paraId="68062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1" w:type="dxa"/>
                  <w:vMerge w:val="continue"/>
                  <w:tcBorders>
                    <w:tl2br w:val="nil"/>
                    <w:tr2bl w:val="nil"/>
                  </w:tcBorders>
                  <w:shd w:val="clear" w:color="auto" w:fill="FFFFFF"/>
                  <w:vAlign w:val="center"/>
                </w:tcPr>
                <w:p w14:paraId="136334C5">
                  <w:pPr>
                    <w:jc w:val="center"/>
                    <w:rPr>
                      <w:rFonts w:hint="eastAsia" w:ascii="Times New Roman" w:hAnsi="Times New Roman" w:eastAsia="宋体" w:cs="Times New Roman"/>
                      <w:color w:val="000000" w:themeColor="text1"/>
                      <w:sz w:val="21"/>
                      <w:szCs w:val="21"/>
                      <w:lang w:eastAsia="zh-CN"/>
                    </w:rPr>
                  </w:pPr>
                </w:p>
              </w:tc>
              <w:tc>
                <w:tcPr>
                  <w:tcW w:w="684" w:type="dxa"/>
                  <w:tcBorders>
                    <w:tl2br w:val="nil"/>
                    <w:tr2bl w:val="nil"/>
                  </w:tcBorders>
                  <w:shd w:val="clear" w:color="auto" w:fill="FFFFFF"/>
                  <w:vAlign w:val="center"/>
                </w:tcPr>
                <w:p w14:paraId="5E139182">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X</w:t>
                  </w:r>
                </w:p>
              </w:tc>
              <w:tc>
                <w:tcPr>
                  <w:tcW w:w="677" w:type="dxa"/>
                  <w:tcBorders>
                    <w:tl2br w:val="nil"/>
                    <w:tr2bl w:val="nil"/>
                  </w:tcBorders>
                  <w:shd w:val="clear" w:color="auto" w:fill="FFFFFF"/>
                  <w:vAlign w:val="center"/>
                </w:tcPr>
                <w:p w14:paraId="7F0C5956">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Y</w:t>
                  </w:r>
                </w:p>
              </w:tc>
              <w:tc>
                <w:tcPr>
                  <w:tcW w:w="567" w:type="dxa"/>
                  <w:tcBorders>
                    <w:tl2br w:val="nil"/>
                    <w:tr2bl w:val="nil"/>
                  </w:tcBorders>
                  <w:shd w:val="clear" w:color="auto" w:fill="FFFFFF"/>
                  <w:vAlign w:val="center"/>
                </w:tcPr>
                <w:p w14:paraId="41C8C2B7">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t>Z</w:t>
                  </w:r>
                </w:p>
              </w:tc>
              <w:tc>
                <w:tcPr>
                  <w:tcW w:w="711" w:type="dxa"/>
                  <w:vMerge w:val="continue"/>
                  <w:tcBorders>
                    <w:tl2br w:val="nil"/>
                    <w:tr2bl w:val="nil"/>
                  </w:tcBorders>
                  <w:shd w:val="clear" w:color="auto" w:fill="FFFFFF"/>
                  <w:vAlign w:val="center"/>
                </w:tcPr>
                <w:p w14:paraId="6A0E7971">
                  <w:pPr>
                    <w:jc w:val="center"/>
                    <w:rPr>
                      <w:rFonts w:hint="eastAsia" w:ascii="Times New Roman" w:hAnsi="Times New Roman" w:eastAsia="宋体" w:cs="Times New Roman"/>
                      <w:color w:val="000000" w:themeColor="text1"/>
                      <w:sz w:val="21"/>
                      <w:szCs w:val="21"/>
                      <w:lang w:eastAsia="zh-CN"/>
                    </w:rPr>
                  </w:pPr>
                </w:p>
              </w:tc>
              <w:tc>
                <w:tcPr>
                  <w:tcW w:w="811" w:type="dxa"/>
                  <w:vMerge w:val="continue"/>
                  <w:tcBorders>
                    <w:tl2br w:val="nil"/>
                    <w:tr2bl w:val="nil"/>
                  </w:tcBorders>
                  <w:shd w:val="clear" w:color="auto" w:fill="FFFFFF"/>
                  <w:vAlign w:val="center"/>
                </w:tcPr>
                <w:p w14:paraId="2F621CAE">
                  <w:pPr>
                    <w:jc w:val="center"/>
                    <w:rPr>
                      <w:rFonts w:hint="eastAsia" w:ascii="Times New Roman" w:hAnsi="Times New Roman" w:eastAsia="宋体" w:cs="Times New Roman"/>
                      <w:color w:val="000000" w:themeColor="text1"/>
                      <w:sz w:val="21"/>
                      <w:szCs w:val="21"/>
                      <w:lang w:eastAsia="zh-CN"/>
                    </w:rPr>
                  </w:pPr>
                </w:p>
              </w:tc>
              <w:tc>
                <w:tcPr>
                  <w:tcW w:w="947" w:type="dxa"/>
                  <w:vMerge w:val="continue"/>
                  <w:tcBorders>
                    <w:tl2br w:val="nil"/>
                    <w:tr2bl w:val="nil"/>
                  </w:tcBorders>
                  <w:shd w:val="clear" w:color="auto" w:fill="FFFFFF"/>
                  <w:vAlign w:val="center"/>
                </w:tcPr>
                <w:p w14:paraId="731043C5">
                  <w:pPr>
                    <w:jc w:val="center"/>
                    <w:rPr>
                      <w:rFonts w:hint="eastAsia" w:ascii="Times New Roman" w:hAnsi="Times New Roman" w:eastAsia="宋体" w:cs="Times New Roman"/>
                      <w:color w:val="000000" w:themeColor="text1"/>
                      <w:sz w:val="21"/>
                      <w:szCs w:val="21"/>
                      <w:lang w:eastAsia="zh-CN"/>
                    </w:rPr>
                  </w:pPr>
                </w:p>
              </w:tc>
              <w:tc>
                <w:tcPr>
                  <w:tcW w:w="1135" w:type="dxa"/>
                  <w:vMerge w:val="continue"/>
                  <w:tcBorders>
                    <w:tl2br w:val="nil"/>
                    <w:tr2bl w:val="nil"/>
                  </w:tcBorders>
                  <w:shd w:val="clear" w:color="auto" w:fill="FFFFFF"/>
                  <w:vAlign w:val="center"/>
                </w:tcPr>
                <w:p w14:paraId="67004DF2">
                  <w:pPr>
                    <w:jc w:val="center"/>
                    <w:rPr>
                      <w:rFonts w:hint="eastAsia" w:ascii="Times New Roman" w:hAnsi="Times New Roman" w:eastAsia="宋体" w:cs="Times New Roman"/>
                      <w:color w:val="000000" w:themeColor="text1"/>
                      <w:sz w:val="21"/>
                      <w:szCs w:val="21"/>
                      <w:lang w:eastAsia="zh-CN"/>
                    </w:rPr>
                  </w:pPr>
                </w:p>
              </w:tc>
            </w:tr>
            <w:tr w14:paraId="6FEEF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restart"/>
                  <w:tcBorders>
                    <w:tl2br w:val="nil"/>
                    <w:tr2bl w:val="nil"/>
                  </w:tcBorders>
                  <w:shd w:val="clear" w:color="auto" w:fill="FFFFFF"/>
                  <w:vAlign w:val="center"/>
                </w:tcPr>
                <w:p w14:paraId="017EEC79">
                  <w:pPr>
                    <w:jc w:val="center"/>
                    <w:rPr>
                      <w:rFonts w:hint="default" w:ascii="Times New Roman" w:hAnsi="Times New Roman" w:eastAsia="宋体" w:cs="Times New Roman"/>
                      <w:color w:val="000000" w:themeColor="text1"/>
                      <w:sz w:val="21"/>
                      <w:szCs w:val="21"/>
                      <w:lang w:val="en-US" w:eastAsia="zh-CN"/>
                    </w:rPr>
                  </w:pPr>
                  <w:r>
                    <w:rPr>
                      <w:rFonts w:hint="eastAsia"/>
                    </w:rPr>
                    <w:t>厂界北</w:t>
                  </w:r>
                </w:p>
              </w:tc>
              <w:tc>
                <w:tcPr>
                  <w:tcW w:w="684" w:type="dxa"/>
                  <w:tcBorders>
                    <w:tl2br w:val="nil"/>
                    <w:tr2bl w:val="nil"/>
                  </w:tcBorders>
                  <w:shd w:val="clear" w:color="auto" w:fill="FFFFFF"/>
                  <w:vAlign w:val="center"/>
                </w:tcPr>
                <w:p w14:paraId="4E5B8430">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182.13</w:t>
                  </w:r>
                </w:p>
              </w:tc>
              <w:tc>
                <w:tcPr>
                  <w:tcW w:w="677" w:type="dxa"/>
                  <w:tcBorders>
                    <w:tl2br w:val="nil"/>
                    <w:tr2bl w:val="nil"/>
                  </w:tcBorders>
                  <w:shd w:val="clear" w:color="auto" w:fill="FFFFFF"/>
                  <w:vAlign w:val="center"/>
                </w:tcPr>
                <w:p w14:paraId="10611DE0">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194.06</w:t>
                  </w:r>
                </w:p>
              </w:tc>
              <w:tc>
                <w:tcPr>
                  <w:tcW w:w="567" w:type="dxa"/>
                  <w:tcBorders>
                    <w:tl2br w:val="nil"/>
                    <w:tr2bl w:val="nil"/>
                  </w:tcBorders>
                  <w:shd w:val="clear" w:color="auto" w:fill="FFFFFF"/>
                  <w:vAlign w:val="center"/>
                </w:tcPr>
                <w:p w14:paraId="08ECB6A4">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73B3D41D">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昼间</w:t>
                  </w:r>
                </w:p>
              </w:tc>
              <w:tc>
                <w:tcPr>
                  <w:tcW w:w="811" w:type="dxa"/>
                  <w:tcBorders>
                    <w:tl2br w:val="nil"/>
                    <w:tr2bl w:val="nil"/>
                  </w:tcBorders>
                  <w:shd w:val="clear" w:color="auto" w:fill="FFFFFF"/>
                  <w:vAlign w:val="center"/>
                </w:tcPr>
                <w:p w14:paraId="682ECA0E">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31.72</w:t>
                  </w:r>
                </w:p>
              </w:tc>
              <w:tc>
                <w:tcPr>
                  <w:tcW w:w="947" w:type="dxa"/>
                  <w:tcBorders>
                    <w:tl2br w:val="nil"/>
                    <w:tr2bl w:val="nil"/>
                  </w:tcBorders>
                  <w:shd w:val="clear" w:color="auto" w:fill="FFFFFF"/>
                  <w:vAlign w:val="center"/>
                </w:tcPr>
                <w:p w14:paraId="5C3A9695">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60</w:t>
                  </w:r>
                </w:p>
              </w:tc>
              <w:tc>
                <w:tcPr>
                  <w:tcW w:w="1135" w:type="dxa"/>
                  <w:tcBorders>
                    <w:tl2br w:val="nil"/>
                    <w:tr2bl w:val="nil"/>
                  </w:tcBorders>
                  <w:shd w:val="clear" w:color="auto" w:fill="FFFFFF"/>
                  <w:vAlign w:val="center"/>
                </w:tcPr>
                <w:p w14:paraId="25EBA8FF">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522DD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continue"/>
                  <w:tcBorders>
                    <w:tl2br w:val="nil"/>
                    <w:tr2bl w:val="nil"/>
                  </w:tcBorders>
                  <w:shd w:val="clear" w:color="auto" w:fill="FFFFFF"/>
                  <w:vAlign w:val="center"/>
                </w:tcPr>
                <w:p w14:paraId="24BDC626">
                  <w:pPr>
                    <w:jc w:val="center"/>
                    <w:rPr>
                      <w:rFonts w:hint="eastAsia"/>
                    </w:rPr>
                  </w:pPr>
                </w:p>
              </w:tc>
              <w:tc>
                <w:tcPr>
                  <w:tcW w:w="684" w:type="dxa"/>
                  <w:tcBorders>
                    <w:tl2br w:val="nil"/>
                    <w:tr2bl w:val="nil"/>
                  </w:tcBorders>
                  <w:shd w:val="clear" w:color="auto" w:fill="FFFFFF"/>
                  <w:vAlign w:val="center"/>
                </w:tcPr>
                <w:p w14:paraId="542AB929">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182.13</w:t>
                  </w:r>
                </w:p>
              </w:tc>
              <w:tc>
                <w:tcPr>
                  <w:tcW w:w="677" w:type="dxa"/>
                  <w:tcBorders>
                    <w:tl2br w:val="nil"/>
                    <w:tr2bl w:val="nil"/>
                  </w:tcBorders>
                  <w:shd w:val="clear" w:color="auto" w:fill="FFFFFF"/>
                  <w:vAlign w:val="center"/>
                </w:tcPr>
                <w:p w14:paraId="342316E9">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194.06</w:t>
                  </w:r>
                </w:p>
              </w:tc>
              <w:tc>
                <w:tcPr>
                  <w:tcW w:w="567" w:type="dxa"/>
                  <w:tcBorders>
                    <w:tl2br w:val="nil"/>
                    <w:tr2bl w:val="nil"/>
                  </w:tcBorders>
                  <w:shd w:val="clear" w:color="auto" w:fill="FFFFFF"/>
                  <w:vAlign w:val="center"/>
                </w:tcPr>
                <w:p w14:paraId="771EAD8B">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2DC6A7EB">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夜间</w:t>
                  </w:r>
                </w:p>
              </w:tc>
              <w:tc>
                <w:tcPr>
                  <w:tcW w:w="811" w:type="dxa"/>
                  <w:tcBorders>
                    <w:tl2br w:val="nil"/>
                    <w:tr2bl w:val="nil"/>
                  </w:tcBorders>
                  <w:shd w:val="clear" w:color="auto" w:fill="FFFFFF"/>
                  <w:vAlign w:val="center"/>
                </w:tcPr>
                <w:p w14:paraId="299D08E1">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31.72</w:t>
                  </w:r>
                </w:p>
              </w:tc>
              <w:tc>
                <w:tcPr>
                  <w:tcW w:w="947" w:type="dxa"/>
                  <w:tcBorders>
                    <w:tl2br w:val="nil"/>
                    <w:tr2bl w:val="nil"/>
                  </w:tcBorders>
                  <w:shd w:val="clear" w:color="auto" w:fill="FFFFFF"/>
                  <w:vAlign w:val="center"/>
                </w:tcPr>
                <w:p w14:paraId="33EFD047">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50</w:t>
                  </w:r>
                </w:p>
              </w:tc>
              <w:tc>
                <w:tcPr>
                  <w:tcW w:w="1135" w:type="dxa"/>
                  <w:tcBorders>
                    <w:tl2br w:val="nil"/>
                    <w:tr2bl w:val="nil"/>
                  </w:tcBorders>
                  <w:shd w:val="clear" w:color="auto" w:fill="FFFFFF"/>
                  <w:vAlign w:val="center"/>
                </w:tcPr>
                <w:p w14:paraId="02969309">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04F33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restart"/>
                  <w:tcBorders>
                    <w:tl2br w:val="nil"/>
                    <w:tr2bl w:val="nil"/>
                  </w:tcBorders>
                  <w:shd w:val="clear" w:color="auto" w:fill="FFFFFF"/>
                  <w:vAlign w:val="center"/>
                </w:tcPr>
                <w:p w14:paraId="271D8B3B">
                  <w:pPr>
                    <w:jc w:val="center"/>
                    <w:rPr>
                      <w:rFonts w:hint="eastAsia" w:ascii="Times New Roman" w:hAnsi="Times New Roman" w:eastAsia="宋体" w:cs="Times New Roman"/>
                      <w:color w:val="000000" w:themeColor="text1"/>
                      <w:sz w:val="21"/>
                      <w:szCs w:val="21"/>
                      <w:lang w:eastAsia="zh-CN"/>
                    </w:rPr>
                  </w:pPr>
                  <w:r>
                    <w:rPr>
                      <w:rFonts w:hint="eastAsia"/>
                    </w:rPr>
                    <w:t>厂界西</w:t>
                  </w:r>
                </w:p>
              </w:tc>
              <w:tc>
                <w:tcPr>
                  <w:tcW w:w="684" w:type="dxa"/>
                  <w:tcBorders>
                    <w:tl2br w:val="nil"/>
                    <w:tr2bl w:val="nil"/>
                  </w:tcBorders>
                  <w:shd w:val="clear" w:color="auto" w:fill="FFFFFF"/>
                  <w:vAlign w:val="center"/>
                </w:tcPr>
                <w:p w14:paraId="6A94A752">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49.89</w:t>
                  </w:r>
                </w:p>
              </w:tc>
              <w:tc>
                <w:tcPr>
                  <w:tcW w:w="677" w:type="dxa"/>
                  <w:tcBorders>
                    <w:tl2br w:val="nil"/>
                    <w:tr2bl w:val="nil"/>
                  </w:tcBorders>
                  <w:shd w:val="clear" w:color="auto" w:fill="FFFFFF"/>
                  <w:vAlign w:val="center"/>
                </w:tcPr>
                <w:p w14:paraId="11915D56">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69.61</w:t>
                  </w:r>
                </w:p>
              </w:tc>
              <w:tc>
                <w:tcPr>
                  <w:tcW w:w="567" w:type="dxa"/>
                  <w:tcBorders>
                    <w:tl2br w:val="nil"/>
                    <w:tr2bl w:val="nil"/>
                  </w:tcBorders>
                  <w:shd w:val="clear" w:color="auto" w:fill="FFFFFF"/>
                  <w:vAlign w:val="center"/>
                </w:tcPr>
                <w:p w14:paraId="6194B40E">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1A8C529C">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昼间</w:t>
                  </w:r>
                </w:p>
              </w:tc>
              <w:tc>
                <w:tcPr>
                  <w:tcW w:w="811" w:type="dxa"/>
                  <w:tcBorders>
                    <w:tl2br w:val="nil"/>
                    <w:tr2bl w:val="nil"/>
                  </w:tcBorders>
                  <w:shd w:val="clear" w:color="auto" w:fill="FFFFFF"/>
                  <w:vAlign w:val="center"/>
                </w:tcPr>
                <w:p w14:paraId="6D1957E3">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19.14</w:t>
                  </w:r>
                </w:p>
              </w:tc>
              <w:tc>
                <w:tcPr>
                  <w:tcW w:w="947" w:type="dxa"/>
                  <w:tcBorders>
                    <w:tl2br w:val="nil"/>
                    <w:tr2bl w:val="nil"/>
                  </w:tcBorders>
                  <w:shd w:val="clear" w:color="auto" w:fill="FFFFFF"/>
                  <w:vAlign w:val="center"/>
                </w:tcPr>
                <w:p w14:paraId="54DA82A6">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60</w:t>
                  </w:r>
                </w:p>
              </w:tc>
              <w:tc>
                <w:tcPr>
                  <w:tcW w:w="1135" w:type="dxa"/>
                  <w:tcBorders>
                    <w:tl2br w:val="nil"/>
                    <w:tr2bl w:val="nil"/>
                  </w:tcBorders>
                  <w:shd w:val="clear" w:color="auto" w:fill="FFFFFF"/>
                  <w:vAlign w:val="center"/>
                </w:tcPr>
                <w:p w14:paraId="51922721">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34A2E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continue"/>
                  <w:tcBorders>
                    <w:tl2br w:val="nil"/>
                    <w:tr2bl w:val="nil"/>
                  </w:tcBorders>
                  <w:shd w:val="clear" w:color="auto" w:fill="FFFFFF"/>
                  <w:vAlign w:val="center"/>
                </w:tcPr>
                <w:p w14:paraId="0BF77B6E">
                  <w:pPr>
                    <w:jc w:val="center"/>
                    <w:rPr>
                      <w:rFonts w:hint="eastAsia"/>
                    </w:rPr>
                  </w:pPr>
                </w:p>
              </w:tc>
              <w:tc>
                <w:tcPr>
                  <w:tcW w:w="684" w:type="dxa"/>
                  <w:tcBorders>
                    <w:tl2br w:val="nil"/>
                    <w:tr2bl w:val="nil"/>
                  </w:tcBorders>
                  <w:shd w:val="clear" w:color="auto" w:fill="FFFFFF"/>
                  <w:vAlign w:val="center"/>
                </w:tcPr>
                <w:p w14:paraId="1FD81D53">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49.89</w:t>
                  </w:r>
                </w:p>
              </w:tc>
              <w:tc>
                <w:tcPr>
                  <w:tcW w:w="677" w:type="dxa"/>
                  <w:tcBorders>
                    <w:tl2br w:val="nil"/>
                    <w:tr2bl w:val="nil"/>
                  </w:tcBorders>
                  <w:shd w:val="clear" w:color="auto" w:fill="FFFFFF"/>
                  <w:vAlign w:val="center"/>
                </w:tcPr>
                <w:p w14:paraId="1D865D4C">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69.61</w:t>
                  </w:r>
                </w:p>
              </w:tc>
              <w:tc>
                <w:tcPr>
                  <w:tcW w:w="567" w:type="dxa"/>
                  <w:tcBorders>
                    <w:tl2br w:val="nil"/>
                    <w:tr2bl w:val="nil"/>
                  </w:tcBorders>
                  <w:shd w:val="clear" w:color="auto" w:fill="FFFFFF"/>
                  <w:vAlign w:val="center"/>
                </w:tcPr>
                <w:p w14:paraId="51EDE5E4">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09F3B997">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夜间</w:t>
                  </w:r>
                </w:p>
              </w:tc>
              <w:tc>
                <w:tcPr>
                  <w:tcW w:w="811" w:type="dxa"/>
                  <w:tcBorders>
                    <w:tl2br w:val="nil"/>
                    <w:tr2bl w:val="nil"/>
                  </w:tcBorders>
                  <w:shd w:val="clear" w:color="auto" w:fill="FFFFFF"/>
                  <w:vAlign w:val="center"/>
                </w:tcPr>
                <w:p w14:paraId="59F91D09">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19.14</w:t>
                  </w:r>
                </w:p>
              </w:tc>
              <w:tc>
                <w:tcPr>
                  <w:tcW w:w="947" w:type="dxa"/>
                  <w:tcBorders>
                    <w:tl2br w:val="nil"/>
                    <w:tr2bl w:val="nil"/>
                  </w:tcBorders>
                  <w:shd w:val="clear" w:color="auto" w:fill="FFFFFF"/>
                  <w:vAlign w:val="center"/>
                </w:tcPr>
                <w:p w14:paraId="3E017DA7">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50</w:t>
                  </w:r>
                </w:p>
              </w:tc>
              <w:tc>
                <w:tcPr>
                  <w:tcW w:w="1135" w:type="dxa"/>
                  <w:tcBorders>
                    <w:tl2br w:val="nil"/>
                    <w:tr2bl w:val="nil"/>
                  </w:tcBorders>
                  <w:shd w:val="clear" w:color="auto" w:fill="FFFFFF"/>
                  <w:vAlign w:val="center"/>
                </w:tcPr>
                <w:p w14:paraId="2CD61991">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648E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restart"/>
                  <w:tcBorders>
                    <w:tl2br w:val="nil"/>
                    <w:tr2bl w:val="nil"/>
                  </w:tcBorders>
                  <w:shd w:val="clear" w:color="auto" w:fill="FFFFFF"/>
                  <w:vAlign w:val="center"/>
                </w:tcPr>
                <w:p w14:paraId="44F26288">
                  <w:pPr>
                    <w:jc w:val="center"/>
                    <w:rPr>
                      <w:rFonts w:hint="eastAsia" w:ascii="Times New Roman" w:hAnsi="Times New Roman" w:eastAsia="宋体" w:cs="Times New Roman"/>
                      <w:color w:val="000000" w:themeColor="text1"/>
                      <w:sz w:val="21"/>
                      <w:szCs w:val="21"/>
                      <w:lang w:eastAsia="zh-CN"/>
                    </w:rPr>
                  </w:pPr>
                  <w:r>
                    <w:rPr>
                      <w:rFonts w:hint="eastAsia"/>
                    </w:rPr>
                    <w:t>厂界南</w:t>
                  </w:r>
                </w:p>
              </w:tc>
              <w:tc>
                <w:tcPr>
                  <w:tcW w:w="684" w:type="dxa"/>
                  <w:tcBorders>
                    <w:tl2br w:val="nil"/>
                    <w:tr2bl w:val="nil"/>
                  </w:tcBorders>
                  <w:shd w:val="clear" w:color="auto" w:fill="FFFFFF"/>
                  <w:vAlign w:val="center"/>
                </w:tcPr>
                <w:p w14:paraId="0ECFF26B">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220.66</w:t>
                  </w:r>
                </w:p>
              </w:tc>
              <w:tc>
                <w:tcPr>
                  <w:tcW w:w="677" w:type="dxa"/>
                  <w:tcBorders>
                    <w:tl2br w:val="nil"/>
                    <w:tr2bl w:val="nil"/>
                  </w:tcBorders>
                  <w:shd w:val="clear" w:color="auto" w:fill="FFFFFF"/>
                  <w:vAlign w:val="center"/>
                </w:tcPr>
                <w:p w14:paraId="15B1D914">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39.12</w:t>
                  </w:r>
                </w:p>
              </w:tc>
              <w:tc>
                <w:tcPr>
                  <w:tcW w:w="567" w:type="dxa"/>
                  <w:tcBorders>
                    <w:tl2br w:val="nil"/>
                    <w:tr2bl w:val="nil"/>
                  </w:tcBorders>
                  <w:shd w:val="clear" w:color="auto" w:fill="FFFFFF"/>
                  <w:vAlign w:val="center"/>
                </w:tcPr>
                <w:p w14:paraId="493DE0E2">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0C5A82B0">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昼间</w:t>
                  </w:r>
                </w:p>
              </w:tc>
              <w:tc>
                <w:tcPr>
                  <w:tcW w:w="811" w:type="dxa"/>
                  <w:tcBorders>
                    <w:tl2br w:val="nil"/>
                    <w:tr2bl w:val="nil"/>
                  </w:tcBorders>
                  <w:shd w:val="clear" w:color="auto" w:fill="FFFFFF"/>
                  <w:vAlign w:val="center"/>
                </w:tcPr>
                <w:p w14:paraId="54E91D2E">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31.23</w:t>
                  </w:r>
                </w:p>
              </w:tc>
              <w:tc>
                <w:tcPr>
                  <w:tcW w:w="947" w:type="dxa"/>
                  <w:tcBorders>
                    <w:tl2br w:val="nil"/>
                    <w:tr2bl w:val="nil"/>
                  </w:tcBorders>
                  <w:shd w:val="clear" w:color="auto" w:fill="FFFFFF"/>
                  <w:vAlign w:val="center"/>
                </w:tcPr>
                <w:p w14:paraId="4897A87E">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60</w:t>
                  </w:r>
                </w:p>
              </w:tc>
              <w:tc>
                <w:tcPr>
                  <w:tcW w:w="1135" w:type="dxa"/>
                  <w:tcBorders>
                    <w:tl2br w:val="nil"/>
                    <w:tr2bl w:val="nil"/>
                  </w:tcBorders>
                  <w:shd w:val="clear" w:color="auto" w:fill="FFFFFF"/>
                  <w:vAlign w:val="center"/>
                </w:tcPr>
                <w:p w14:paraId="4698199E">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29680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continue"/>
                  <w:tcBorders>
                    <w:tl2br w:val="nil"/>
                    <w:tr2bl w:val="nil"/>
                  </w:tcBorders>
                  <w:shd w:val="clear" w:color="auto" w:fill="FFFFFF"/>
                  <w:vAlign w:val="center"/>
                </w:tcPr>
                <w:p w14:paraId="7FEB30FE">
                  <w:pPr>
                    <w:jc w:val="center"/>
                    <w:rPr>
                      <w:rFonts w:hint="eastAsia"/>
                    </w:rPr>
                  </w:pPr>
                </w:p>
              </w:tc>
              <w:tc>
                <w:tcPr>
                  <w:tcW w:w="684" w:type="dxa"/>
                  <w:tcBorders>
                    <w:tl2br w:val="nil"/>
                    <w:tr2bl w:val="nil"/>
                  </w:tcBorders>
                  <w:shd w:val="clear" w:color="auto" w:fill="FFFFFF"/>
                  <w:vAlign w:val="center"/>
                </w:tcPr>
                <w:p w14:paraId="2ABC33AE">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220.66</w:t>
                  </w:r>
                </w:p>
              </w:tc>
              <w:tc>
                <w:tcPr>
                  <w:tcW w:w="677" w:type="dxa"/>
                  <w:tcBorders>
                    <w:tl2br w:val="nil"/>
                    <w:tr2bl w:val="nil"/>
                  </w:tcBorders>
                  <w:shd w:val="clear" w:color="auto" w:fill="FFFFFF"/>
                  <w:vAlign w:val="center"/>
                </w:tcPr>
                <w:p w14:paraId="5EF40748">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39.12</w:t>
                  </w:r>
                </w:p>
              </w:tc>
              <w:tc>
                <w:tcPr>
                  <w:tcW w:w="567" w:type="dxa"/>
                  <w:tcBorders>
                    <w:tl2br w:val="nil"/>
                    <w:tr2bl w:val="nil"/>
                  </w:tcBorders>
                  <w:shd w:val="clear" w:color="auto" w:fill="FFFFFF"/>
                  <w:vAlign w:val="center"/>
                </w:tcPr>
                <w:p w14:paraId="0B40D84A">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40C3DC75">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夜间</w:t>
                  </w:r>
                </w:p>
              </w:tc>
              <w:tc>
                <w:tcPr>
                  <w:tcW w:w="811" w:type="dxa"/>
                  <w:tcBorders>
                    <w:tl2br w:val="nil"/>
                    <w:tr2bl w:val="nil"/>
                  </w:tcBorders>
                  <w:shd w:val="clear" w:color="auto" w:fill="FFFFFF"/>
                  <w:vAlign w:val="center"/>
                </w:tcPr>
                <w:p w14:paraId="41B24BED">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31.23</w:t>
                  </w:r>
                </w:p>
              </w:tc>
              <w:tc>
                <w:tcPr>
                  <w:tcW w:w="947" w:type="dxa"/>
                  <w:tcBorders>
                    <w:tl2br w:val="nil"/>
                    <w:tr2bl w:val="nil"/>
                  </w:tcBorders>
                  <w:shd w:val="clear" w:color="auto" w:fill="FFFFFF"/>
                  <w:vAlign w:val="center"/>
                </w:tcPr>
                <w:p w14:paraId="2915DEF7">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50</w:t>
                  </w:r>
                </w:p>
              </w:tc>
              <w:tc>
                <w:tcPr>
                  <w:tcW w:w="1135" w:type="dxa"/>
                  <w:tcBorders>
                    <w:tl2br w:val="nil"/>
                    <w:tr2bl w:val="nil"/>
                  </w:tcBorders>
                  <w:shd w:val="clear" w:color="auto" w:fill="FFFFFF"/>
                  <w:vAlign w:val="center"/>
                </w:tcPr>
                <w:p w14:paraId="68BECB6B">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266E7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restart"/>
                  <w:tcBorders>
                    <w:tl2br w:val="nil"/>
                    <w:tr2bl w:val="nil"/>
                  </w:tcBorders>
                  <w:shd w:val="clear" w:color="auto" w:fill="FFFFFF"/>
                  <w:vAlign w:val="center"/>
                </w:tcPr>
                <w:p w14:paraId="7BEEBAD9">
                  <w:pPr>
                    <w:jc w:val="center"/>
                    <w:rPr>
                      <w:rFonts w:hint="eastAsia" w:ascii="Times New Roman" w:hAnsi="Times New Roman" w:eastAsia="宋体" w:cs="Times New Roman"/>
                      <w:color w:val="000000" w:themeColor="text1"/>
                      <w:sz w:val="21"/>
                      <w:szCs w:val="21"/>
                      <w:lang w:eastAsia="zh-CN"/>
                    </w:rPr>
                  </w:pPr>
                  <w:r>
                    <w:rPr>
                      <w:rFonts w:hint="eastAsia"/>
                    </w:rPr>
                    <w:t>厂界东</w:t>
                  </w:r>
                </w:p>
              </w:tc>
              <w:tc>
                <w:tcPr>
                  <w:tcW w:w="684" w:type="dxa"/>
                  <w:tcBorders>
                    <w:tl2br w:val="nil"/>
                    <w:tr2bl w:val="nil"/>
                  </w:tcBorders>
                  <w:shd w:val="clear" w:color="auto" w:fill="FFFFFF"/>
                  <w:vAlign w:val="center"/>
                </w:tcPr>
                <w:p w14:paraId="2A9730E5">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307.75</w:t>
                  </w:r>
                </w:p>
              </w:tc>
              <w:tc>
                <w:tcPr>
                  <w:tcW w:w="677" w:type="dxa"/>
                  <w:tcBorders>
                    <w:tl2br w:val="nil"/>
                    <w:tr2bl w:val="nil"/>
                  </w:tcBorders>
                  <w:shd w:val="clear" w:color="auto" w:fill="FFFFFF"/>
                  <w:vAlign w:val="center"/>
                </w:tcPr>
                <w:p w14:paraId="40DFB4F2">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154.16</w:t>
                  </w:r>
                </w:p>
              </w:tc>
              <w:tc>
                <w:tcPr>
                  <w:tcW w:w="567" w:type="dxa"/>
                  <w:tcBorders>
                    <w:tl2br w:val="nil"/>
                    <w:tr2bl w:val="nil"/>
                  </w:tcBorders>
                  <w:shd w:val="clear" w:color="auto" w:fill="FFFFFF"/>
                  <w:vAlign w:val="center"/>
                </w:tcPr>
                <w:p w14:paraId="588361CE">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25489E6C">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昼间</w:t>
                  </w:r>
                </w:p>
              </w:tc>
              <w:tc>
                <w:tcPr>
                  <w:tcW w:w="811" w:type="dxa"/>
                  <w:tcBorders>
                    <w:tl2br w:val="nil"/>
                    <w:tr2bl w:val="nil"/>
                  </w:tcBorders>
                  <w:shd w:val="clear" w:color="auto" w:fill="FFFFFF"/>
                  <w:vAlign w:val="center"/>
                </w:tcPr>
                <w:p w14:paraId="2393D1A7">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41.64</w:t>
                  </w:r>
                </w:p>
              </w:tc>
              <w:tc>
                <w:tcPr>
                  <w:tcW w:w="947" w:type="dxa"/>
                  <w:tcBorders>
                    <w:tl2br w:val="nil"/>
                    <w:tr2bl w:val="nil"/>
                  </w:tcBorders>
                  <w:shd w:val="clear" w:color="auto" w:fill="FFFFFF"/>
                  <w:vAlign w:val="center"/>
                </w:tcPr>
                <w:p w14:paraId="5B151D55">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60</w:t>
                  </w:r>
                </w:p>
              </w:tc>
              <w:tc>
                <w:tcPr>
                  <w:tcW w:w="1135" w:type="dxa"/>
                  <w:tcBorders>
                    <w:tl2br w:val="nil"/>
                    <w:tr2bl w:val="nil"/>
                  </w:tcBorders>
                  <w:shd w:val="clear" w:color="auto" w:fill="FFFFFF"/>
                  <w:vAlign w:val="center"/>
                </w:tcPr>
                <w:p w14:paraId="123C8AA8">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r w14:paraId="696FC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1051" w:type="dxa"/>
                  <w:vMerge w:val="continue"/>
                  <w:tcBorders>
                    <w:tl2br w:val="nil"/>
                    <w:tr2bl w:val="nil"/>
                  </w:tcBorders>
                  <w:shd w:val="clear" w:color="auto" w:fill="FFFFFF"/>
                  <w:vAlign w:val="center"/>
                </w:tcPr>
                <w:p w14:paraId="6340392D">
                  <w:pPr>
                    <w:jc w:val="center"/>
                    <w:rPr>
                      <w:rFonts w:hint="eastAsia"/>
                    </w:rPr>
                  </w:pPr>
                </w:p>
              </w:tc>
              <w:tc>
                <w:tcPr>
                  <w:tcW w:w="684" w:type="dxa"/>
                  <w:tcBorders>
                    <w:tl2br w:val="nil"/>
                    <w:tr2bl w:val="nil"/>
                  </w:tcBorders>
                  <w:shd w:val="clear" w:color="auto" w:fill="FFFFFF"/>
                  <w:vAlign w:val="center"/>
                </w:tcPr>
                <w:p w14:paraId="53260AFE">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307.75</w:t>
                  </w:r>
                </w:p>
              </w:tc>
              <w:tc>
                <w:tcPr>
                  <w:tcW w:w="677" w:type="dxa"/>
                  <w:tcBorders>
                    <w:tl2br w:val="nil"/>
                    <w:tr2bl w:val="nil"/>
                  </w:tcBorders>
                  <w:shd w:val="clear" w:color="auto" w:fill="FFFFFF"/>
                  <w:vAlign w:val="center"/>
                </w:tcPr>
                <w:p w14:paraId="2C90DCC9">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154.16</w:t>
                  </w:r>
                </w:p>
              </w:tc>
              <w:tc>
                <w:tcPr>
                  <w:tcW w:w="567" w:type="dxa"/>
                  <w:tcBorders>
                    <w:tl2br w:val="nil"/>
                    <w:tr2bl w:val="nil"/>
                  </w:tcBorders>
                  <w:shd w:val="clear" w:color="auto" w:fill="FFFFFF"/>
                  <w:vAlign w:val="center"/>
                </w:tcPr>
                <w:p w14:paraId="48027519">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1.2</w:t>
                  </w:r>
                </w:p>
              </w:tc>
              <w:tc>
                <w:tcPr>
                  <w:tcW w:w="711" w:type="dxa"/>
                  <w:tcBorders>
                    <w:tl2br w:val="nil"/>
                    <w:tr2bl w:val="nil"/>
                  </w:tcBorders>
                  <w:shd w:val="clear" w:color="auto" w:fill="FFFFFF"/>
                  <w:vAlign w:val="center"/>
                </w:tcPr>
                <w:p w14:paraId="4602F8D4">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夜间</w:t>
                  </w:r>
                </w:p>
              </w:tc>
              <w:tc>
                <w:tcPr>
                  <w:tcW w:w="811" w:type="dxa"/>
                  <w:tcBorders>
                    <w:tl2br w:val="nil"/>
                    <w:tr2bl w:val="nil"/>
                  </w:tcBorders>
                  <w:shd w:val="clear" w:color="auto" w:fill="FFFFFF"/>
                  <w:vAlign w:val="center"/>
                </w:tcPr>
                <w:p w14:paraId="79F83C17">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41.64</w:t>
                  </w:r>
                </w:p>
              </w:tc>
              <w:tc>
                <w:tcPr>
                  <w:tcW w:w="947" w:type="dxa"/>
                  <w:tcBorders>
                    <w:tl2br w:val="nil"/>
                    <w:tr2bl w:val="nil"/>
                  </w:tcBorders>
                  <w:shd w:val="clear" w:color="auto" w:fill="FFFFFF"/>
                  <w:vAlign w:val="center"/>
                </w:tcPr>
                <w:p w14:paraId="05694EC1">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50</w:t>
                  </w:r>
                </w:p>
              </w:tc>
              <w:tc>
                <w:tcPr>
                  <w:tcW w:w="1135" w:type="dxa"/>
                  <w:tcBorders>
                    <w:tl2br w:val="nil"/>
                    <w:tr2bl w:val="nil"/>
                  </w:tcBorders>
                  <w:shd w:val="clear" w:color="auto" w:fill="FFFFFF"/>
                  <w:vAlign w:val="center"/>
                </w:tcPr>
                <w:p w14:paraId="005E2B76">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达标</w:t>
                  </w:r>
                </w:p>
              </w:tc>
            </w:tr>
          </w:tbl>
          <w:p w14:paraId="43BACCE3">
            <w:pPr>
              <w:jc w:val="center"/>
              <w:rPr>
                <w:rFonts w:ascii="Times New Roman" w:hAnsi="Times New Roman" w:eastAsia="宋体" w:cs="Times New Roman"/>
                <w:b/>
                <w:color w:val="000000" w:themeColor="text1"/>
                <w:sz w:val="21"/>
                <w:szCs w:val="21"/>
                <w:lang w:eastAsia="zh-CN"/>
              </w:rPr>
            </w:pPr>
            <w:r>
              <w:rPr>
                <w:rFonts w:ascii="Times New Roman" w:hAnsi="Times New Roman" w:eastAsia="宋体" w:cs="Times New Roman"/>
                <w:b/>
                <w:color w:val="000000" w:themeColor="text1"/>
                <w:sz w:val="21"/>
                <w:szCs w:val="21"/>
                <w:lang w:eastAsia="zh-CN"/>
              </w:rPr>
              <w:drawing>
                <wp:inline distT="0" distB="0" distL="114300" distR="114300">
                  <wp:extent cx="5167630" cy="3578860"/>
                  <wp:effectExtent l="9525" t="9525" r="23495" b="12065"/>
                  <wp:docPr id="24" name="图片 24" descr="预测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预测结果"/>
                          <pic:cNvPicPr>
                            <a:picLocks noChangeAspect="1"/>
                          </pic:cNvPicPr>
                        </pic:nvPicPr>
                        <pic:blipFill>
                          <a:blip r:embed="rId45"/>
                          <a:srcRect l="33236" b="7092"/>
                          <a:stretch>
                            <a:fillRect/>
                          </a:stretch>
                        </pic:blipFill>
                        <pic:spPr>
                          <a:xfrm>
                            <a:off x="0" y="0"/>
                            <a:ext cx="5167630" cy="3578860"/>
                          </a:xfrm>
                          <a:prstGeom prst="rect">
                            <a:avLst/>
                          </a:prstGeom>
                          <a:ln>
                            <a:solidFill>
                              <a:schemeClr val="tx1"/>
                            </a:solidFill>
                          </a:ln>
                        </pic:spPr>
                      </pic:pic>
                    </a:graphicData>
                  </a:graphic>
                </wp:inline>
              </w:drawing>
            </w:r>
          </w:p>
          <w:p w14:paraId="709CDBE6">
            <w:pPr>
              <w:pStyle w:val="51"/>
              <w:adjustRightInd/>
              <w:snapToGrid/>
              <w:spacing w:line="360" w:lineRule="auto"/>
              <w:ind w:firstLine="422" w:firstLineChars="200"/>
              <w:jc w:val="center"/>
              <w:rPr>
                <w:rFonts w:hint="default" w:ascii="Times New Roman" w:hAnsi="Times New Roman" w:eastAsia="宋体" w:cs="Times New Roman"/>
                <w:bCs/>
                <w:color w:val="auto"/>
                <w:sz w:val="24"/>
                <w:szCs w:val="22"/>
                <w:lang w:val="en-US" w:eastAsia="zh-CN" w:bidi="ar-SA"/>
              </w:rPr>
            </w:pPr>
            <w:r>
              <w:rPr>
                <w:rFonts w:hint="eastAsia" w:ascii="Times New Roman" w:hAnsi="Times New Roman" w:eastAsia="宋体" w:cs="Times New Roman"/>
                <w:b/>
                <w:color w:val="000000" w:themeColor="text1"/>
                <w:sz w:val="21"/>
                <w:szCs w:val="21"/>
                <w:lang w:val="en-US" w:eastAsia="zh-CN"/>
              </w:rPr>
              <w:t>图</w:t>
            </w:r>
            <w:r>
              <w:rPr>
                <w:rFonts w:hint="eastAsia" w:ascii="Times New Roman" w:hAnsi="Times New Roman" w:eastAsia="宋体" w:cs="Times New Roman"/>
                <w:b/>
                <w:color w:val="auto"/>
                <w:sz w:val="21"/>
                <w:szCs w:val="21"/>
                <w:lang w:eastAsia="zh-CN"/>
              </w:rPr>
              <w:t>4</w:t>
            </w:r>
            <w:r>
              <w:rPr>
                <w:rFonts w:hint="eastAsia" w:ascii="Times New Roman" w:hAnsi="Times New Roman" w:eastAsia="宋体" w:cs="Times New Roman"/>
                <w:b/>
                <w:color w:val="auto"/>
                <w:sz w:val="21"/>
                <w:szCs w:val="21"/>
                <w:lang w:val="en-US" w:eastAsia="zh-CN"/>
              </w:rPr>
              <w:t>.6-1</w:t>
            </w:r>
            <w:r>
              <w:rPr>
                <w:rFonts w:hint="eastAsia" w:ascii="Times New Roman" w:hAnsi="Times New Roman" w:eastAsia="宋体" w:cs="Times New Roman"/>
                <w:b/>
                <w:color w:val="auto"/>
                <w:sz w:val="21"/>
                <w:szCs w:val="21"/>
                <w:lang w:eastAsia="zh-CN"/>
              </w:rPr>
              <w:t xml:space="preserve"> </w:t>
            </w:r>
            <w:r>
              <w:rPr>
                <w:rFonts w:hint="eastAsia" w:ascii="Times New Roman" w:hAnsi="Times New Roman" w:eastAsia="宋体" w:cs="Times New Roman"/>
                <w:b/>
                <w:color w:val="000000" w:themeColor="text1"/>
                <w:sz w:val="21"/>
                <w:szCs w:val="21"/>
                <w:lang w:eastAsia="zh-CN"/>
              </w:rPr>
              <w:t xml:space="preserve"> 厂界噪声</w:t>
            </w:r>
            <w:r>
              <w:rPr>
                <w:rFonts w:hint="eastAsia" w:ascii="Times New Roman" w:hAnsi="Times New Roman" w:eastAsia="宋体" w:cs="Times New Roman"/>
                <w:b/>
                <w:color w:val="000000" w:themeColor="text1"/>
                <w:sz w:val="21"/>
                <w:szCs w:val="21"/>
                <w:lang w:val="en-US" w:eastAsia="zh-CN"/>
              </w:rPr>
              <w:t>预测等声级线图</w:t>
            </w:r>
          </w:p>
          <w:p w14:paraId="1E7DE602">
            <w:pPr>
              <w:pStyle w:val="51"/>
              <w:adjustRightInd/>
              <w:snapToGrid/>
              <w:spacing w:line="360" w:lineRule="auto"/>
              <w:ind w:firstLine="480" w:firstLineChars="200"/>
              <w:rPr>
                <w:rFonts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（3）监测要求</w:t>
            </w:r>
          </w:p>
          <w:p w14:paraId="596BA6D7">
            <w:pPr>
              <w:adjustRightInd w:val="0"/>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000000" w:themeColor="text1"/>
                <w:sz w:val="21"/>
                <w:szCs w:val="21"/>
                <w:lang w:eastAsia="zh-CN"/>
              </w:rPr>
              <w:t>表</w:t>
            </w:r>
            <w:r>
              <w:rPr>
                <w:rFonts w:hint="eastAsia" w:ascii="Times New Roman" w:hAnsi="Times New Roman" w:eastAsia="宋体" w:cs="Times New Roman"/>
                <w:b/>
                <w:color w:val="auto"/>
                <w:sz w:val="21"/>
                <w:szCs w:val="21"/>
                <w:lang w:eastAsia="zh-CN"/>
              </w:rPr>
              <w:t>4</w:t>
            </w:r>
            <w:r>
              <w:rPr>
                <w:rFonts w:hint="eastAsia" w:ascii="Times New Roman" w:hAnsi="Times New Roman" w:eastAsia="宋体" w:cs="Times New Roman"/>
                <w:b/>
                <w:color w:val="auto"/>
                <w:sz w:val="21"/>
                <w:szCs w:val="21"/>
                <w:lang w:val="en-US" w:eastAsia="zh-CN"/>
              </w:rPr>
              <w:t xml:space="preserve">.6-5 </w:t>
            </w:r>
            <w:r>
              <w:rPr>
                <w:rFonts w:hint="eastAsia" w:ascii="Times New Roman" w:hAnsi="Times New Roman" w:eastAsia="宋体" w:cs="Times New Roman"/>
                <w:b/>
                <w:color w:val="auto"/>
                <w:sz w:val="21"/>
                <w:szCs w:val="21"/>
                <w:lang w:eastAsia="zh-CN"/>
              </w:rPr>
              <w:t xml:space="preserve"> 噪声监测信息表</w:t>
            </w:r>
          </w:p>
          <w:tbl>
            <w:tblPr>
              <w:tblStyle w:val="33"/>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01"/>
              <w:gridCol w:w="1998"/>
              <w:gridCol w:w="4644"/>
            </w:tblGrid>
            <w:tr w14:paraId="396B7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tcBorders>
                    <w:tl2br w:val="nil"/>
                    <w:tr2bl w:val="nil"/>
                  </w:tcBorders>
                  <w:vAlign w:val="top"/>
                </w:tcPr>
                <w:p w14:paraId="270C0C7A">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序号</w:t>
                  </w:r>
                </w:p>
              </w:tc>
              <w:tc>
                <w:tcPr>
                  <w:tcW w:w="1716" w:type="pct"/>
                  <w:gridSpan w:val="2"/>
                  <w:tcBorders>
                    <w:tl2br w:val="nil"/>
                    <w:tr2bl w:val="nil"/>
                  </w:tcBorders>
                  <w:vAlign w:val="top"/>
                </w:tcPr>
                <w:p w14:paraId="14F355C0">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类别</w:t>
                  </w:r>
                </w:p>
              </w:tc>
              <w:tc>
                <w:tcPr>
                  <w:tcW w:w="2847" w:type="pct"/>
                  <w:tcBorders>
                    <w:tl2br w:val="nil"/>
                    <w:tr2bl w:val="nil"/>
                  </w:tcBorders>
                  <w:vAlign w:val="top"/>
                </w:tcPr>
                <w:p w14:paraId="0147394B">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内容</w:t>
                  </w:r>
                </w:p>
              </w:tc>
            </w:tr>
            <w:tr w14:paraId="0E60A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vMerge w:val="restart"/>
                  <w:tcBorders>
                    <w:tl2br w:val="nil"/>
                    <w:tr2bl w:val="nil"/>
                  </w:tcBorders>
                  <w:vAlign w:val="top"/>
                </w:tcPr>
                <w:p w14:paraId="559AC5B9">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w:t>
                  </w:r>
                </w:p>
              </w:tc>
              <w:tc>
                <w:tcPr>
                  <w:tcW w:w="491" w:type="pct"/>
                  <w:vMerge w:val="restart"/>
                  <w:tcBorders>
                    <w:tl2br w:val="nil"/>
                    <w:tr2bl w:val="nil"/>
                  </w:tcBorders>
                  <w:vAlign w:val="top"/>
                </w:tcPr>
                <w:p w14:paraId="23394A12">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监测要求</w:t>
                  </w:r>
                </w:p>
              </w:tc>
              <w:tc>
                <w:tcPr>
                  <w:tcW w:w="1225" w:type="pct"/>
                  <w:tcBorders>
                    <w:tl2br w:val="nil"/>
                    <w:tr2bl w:val="nil"/>
                  </w:tcBorders>
                  <w:vAlign w:val="top"/>
                </w:tcPr>
                <w:p w14:paraId="60BFED21">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监测点位</w:t>
                  </w:r>
                </w:p>
              </w:tc>
              <w:tc>
                <w:tcPr>
                  <w:tcW w:w="2847" w:type="pct"/>
                  <w:tcBorders>
                    <w:tl2br w:val="nil"/>
                    <w:tr2bl w:val="nil"/>
                  </w:tcBorders>
                  <w:vAlign w:val="top"/>
                </w:tcPr>
                <w:p w14:paraId="36FC882D">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厂界东、南、北、西</w:t>
                  </w:r>
                </w:p>
              </w:tc>
            </w:tr>
            <w:tr w14:paraId="3B2F2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vMerge w:val="continue"/>
                  <w:tcBorders>
                    <w:tl2br w:val="nil"/>
                    <w:tr2bl w:val="nil"/>
                  </w:tcBorders>
                  <w:vAlign w:val="top"/>
                </w:tcPr>
                <w:p w14:paraId="0C223FF5">
                  <w:pPr>
                    <w:jc w:val="center"/>
                    <w:rPr>
                      <w:rFonts w:ascii="Times New Roman" w:hAnsi="Times New Roman" w:eastAsia="宋体" w:cs="Times New Roman"/>
                      <w:color w:val="auto"/>
                      <w:sz w:val="21"/>
                      <w:szCs w:val="21"/>
                      <w:lang w:eastAsia="zh-CN"/>
                    </w:rPr>
                  </w:pPr>
                </w:p>
              </w:tc>
              <w:tc>
                <w:tcPr>
                  <w:tcW w:w="491" w:type="pct"/>
                  <w:vMerge w:val="continue"/>
                  <w:tcBorders>
                    <w:tl2br w:val="nil"/>
                    <w:tr2bl w:val="nil"/>
                  </w:tcBorders>
                  <w:vAlign w:val="top"/>
                </w:tcPr>
                <w:p w14:paraId="7226ACCB">
                  <w:pPr>
                    <w:jc w:val="center"/>
                    <w:rPr>
                      <w:rFonts w:ascii="Times New Roman" w:hAnsi="Times New Roman" w:eastAsia="宋体" w:cs="Times New Roman"/>
                      <w:color w:val="auto"/>
                      <w:sz w:val="21"/>
                      <w:szCs w:val="21"/>
                      <w:lang w:eastAsia="zh-CN"/>
                    </w:rPr>
                  </w:pPr>
                </w:p>
              </w:tc>
              <w:tc>
                <w:tcPr>
                  <w:tcW w:w="1225" w:type="pct"/>
                  <w:tcBorders>
                    <w:tl2br w:val="nil"/>
                    <w:tr2bl w:val="nil"/>
                  </w:tcBorders>
                  <w:vAlign w:val="top"/>
                </w:tcPr>
                <w:p w14:paraId="0E29C5AF">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监测因子</w:t>
                  </w:r>
                </w:p>
              </w:tc>
              <w:tc>
                <w:tcPr>
                  <w:tcW w:w="2847" w:type="pct"/>
                  <w:tcBorders>
                    <w:tl2br w:val="nil"/>
                    <w:tr2bl w:val="nil"/>
                  </w:tcBorders>
                  <w:vAlign w:val="top"/>
                </w:tcPr>
                <w:p w14:paraId="03DEF489">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Leq</w:t>
                  </w:r>
                </w:p>
              </w:tc>
            </w:tr>
            <w:tr w14:paraId="432AE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vMerge w:val="continue"/>
                  <w:tcBorders>
                    <w:tl2br w:val="nil"/>
                    <w:tr2bl w:val="nil"/>
                  </w:tcBorders>
                  <w:vAlign w:val="top"/>
                </w:tcPr>
                <w:p w14:paraId="6354EBDB">
                  <w:pPr>
                    <w:jc w:val="center"/>
                    <w:rPr>
                      <w:rFonts w:ascii="Times New Roman" w:hAnsi="Times New Roman" w:eastAsia="宋体" w:cs="Times New Roman"/>
                      <w:color w:val="auto"/>
                      <w:sz w:val="21"/>
                      <w:szCs w:val="21"/>
                      <w:lang w:eastAsia="zh-CN"/>
                    </w:rPr>
                  </w:pPr>
                </w:p>
              </w:tc>
              <w:tc>
                <w:tcPr>
                  <w:tcW w:w="491" w:type="pct"/>
                  <w:vMerge w:val="continue"/>
                  <w:tcBorders>
                    <w:tl2br w:val="nil"/>
                    <w:tr2bl w:val="nil"/>
                  </w:tcBorders>
                  <w:vAlign w:val="top"/>
                </w:tcPr>
                <w:p w14:paraId="6611137A">
                  <w:pPr>
                    <w:jc w:val="center"/>
                    <w:rPr>
                      <w:rFonts w:ascii="Times New Roman" w:hAnsi="Times New Roman" w:eastAsia="宋体" w:cs="Times New Roman"/>
                      <w:color w:val="auto"/>
                      <w:sz w:val="21"/>
                      <w:szCs w:val="21"/>
                      <w:lang w:eastAsia="zh-CN"/>
                    </w:rPr>
                  </w:pPr>
                </w:p>
              </w:tc>
              <w:tc>
                <w:tcPr>
                  <w:tcW w:w="1225" w:type="pct"/>
                  <w:tcBorders>
                    <w:tl2br w:val="nil"/>
                    <w:tr2bl w:val="nil"/>
                  </w:tcBorders>
                  <w:vAlign w:val="top"/>
                </w:tcPr>
                <w:p w14:paraId="0FEC5327">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监测频次</w:t>
                  </w:r>
                </w:p>
              </w:tc>
              <w:tc>
                <w:tcPr>
                  <w:tcW w:w="2847" w:type="pct"/>
                  <w:tcBorders>
                    <w:tl2br w:val="nil"/>
                    <w:tr2bl w:val="nil"/>
                  </w:tcBorders>
                  <w:vAlign w:val="top"/>
                </w:tcPr>
                <w:p w14:paraId="12D6020A">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1次/季</w:t>
                  </w:r>
                </w:p>
              </w:tc>
            </w:tr>
          </w:tbl>
          <w:p w14:paraId="221E6689">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7 </w:t>
            </w:r>
            <w:r>
              <w:rPr>
                <w:rFonts w:hint="eastAsia" w:ascii="Times New Roman" w:hAnsi="Times New Roman" w:eastAsia="宋体" w:cs="Times New Roman"/>
                <w:b/>
                <w:bCs/>
                <w:color w:val="auto"/>
                <w:sz w:val="24"/>
                <w:szCs w:val="24"/>
                <w:lang w:eastAsia="zh-CN"/>
              </w:rPr>
              <w:t xml:space="preserve"> 固体废物</w:t>
            </w:r>
          </w:p>
          <w:p w14:paraId="73FF4256">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val="en-US" w:eastAsia="zh-CN"/>
              </w:rPr>
              <w:t>4.</w:t>
            </w:r>
            <w:r>
              <w:rPr>
                <w:rFonts w:hint="eastAsia" w:ascii="Times New Roman" w:hAnsi="Times New Roman" w:eastAsia="宋体" w:cs="Times New Roman"/>
                <w:bCs/>
                <w:color w:val="auto"/>
                <w:sz w:val="24"/>
                <w:szCs w:val="24"/>
                <w:lang w:val="en-US" w:eastAsia="zh-CN"/>
              </w:rPr>
              <w:t>7</w:t>
            </w:r>
            <w:r>
              <w:rPr>
                <w:rFonts w:ascii="Times New Roman" w:hAnsi="Times New Roman" w:eastAsia="宋体" w:cs="Times New Roman"/>
                <w:bCs/>
                <w:color w:val="auto"/>
                <w:sz w:val="24"/>
                <w:szCs w:val="24"/>
                <w:lang w:val="en-US" w:eastAsia="zh-CN"/>
              </w:rPr>
              <w:t xml:space="preserve">.1 </w:t>
            </w:r>
            <w:r>
              <w:rPr>
                <w:rFonts w:hint="eastAsia" w:ascii="Times New Roman" w:hAnsi="Times New Roman" w:eastAsia="宋体" w:cs="Times New Roman"/>
                <w:bCs/>
                <w:color w:val="auto"/>
                <w:sz w:val="24"/>
                <w:szCs w:val="24"/>
                <w:lang w:val="en-US" w:eastAsia="zh-CN"/>
              </w:rPr>
              <w:t xml:space="preserve">固体废物产生及利用处置情况 </w:t>
            </w:r>
          </w:p>
          <w:p w14:paraId="173BAD80">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本项目</w:t>
            </w:r>
            <w:r>
              <w:rPr>
                <w:rFonts w:hint="eastAsia" w:ascii="Times New Roman" w:hAnsi="Times New Roman" w:eastAsia="宋体" w:cs="Times New Roman"/>
                <w:bCs/>
                <w:color w:val="auto"/>
                <w:sz w:val="24"/>
                <w:szCs w:val="24"/>
                <w:lang w:eastAsia="zh-CN"/>
              </w:rPr>
              <w:t>营运期产生的固废主要</w:t>
            </w:r>
            <w:r>
              <w:rPr>
                <w:rFonts w:hint="eastAsia" w:ascii="Times New Roman" w:hAnsi="Times New Roman" w:eastAsia="宋体" w:cs="Times New Roman"/>
                <w:bCs/>
                <w:color w:val="auto"/>
                <w:sz w:val="24"/>
                <w:szCs w:val="24"/>
                <w:lang w:val="en-US" w:eastAsia="zh-CN"/>
              </w:rPr>
              <w:t>为除尘灰及危险废物</w:t>
            </w:r>
            <w:r>
              <w:rPr>
                <w:rStyle w:val="39"/>
                <w:rFonts w:hint="eastAsia" w:eastAsia="宋体"/>
                <w:color w:val="auto"/>
                <w:sz w:val="24"/>
                <w:szCs w:val="24"/>
                <w:lang w:eastAsia="zh-CN"/>
              </w:rPr>
              <w:t>。</w:t>
            </w:r>
            <w:r>
              <w:rPr>
                <w:rFonts w:ascii="Times New Roman" w:hAnsi="Times New Roman" w:eastAsia="宋体" w:cs="Times New Roman"/>
                <w:bCs/>
                <w:color w:val="auto"/>
                <w:sz w:val="24"/>
                <w:szCs w:val="24"/>
                <w:lang w:eastAsia="zh-CN"/>
              </w:rPr>
              <w:t>其产生情况</w:t>
            </w:r>
            <w:r>
              <w:rPr>
                <w:rFonts w:hint="eastAsia" w:ascii="Times New Roman" w:hAnsi="Times New Roman" w:eastAsia="宋体" w:cs="Times New Roman"/>
                <w:bCs/>
                <w:color w:val="auto"/>
                <w:sz w:val="24"/>
                <w:szCs w:val="24"/>
                <w:lang w:val="en-US" w:eastAsia="zh-CN"/>
              </w:rPr>
              <w:t>如下</w:t>
            </w:r>
            <w:r>
              <w:rPr>
                <w:rFonts w:ascii="Times New Roman" w:hAnsi="Times New Roman" w:eastAsia="宋体" w:cs="Times New Roman"/>
                <w:bCs/>
                <w:color w:val="auto"/>
                <w:sz w:val="24"/>
                <w:szCs w:val="24"/>
                <w:lang w:eastAsia="zh-CN"/>
              </w:rPr>
              <w:t>：</w:t>
            </w:r>
          </w:p>
          <w:p w14:paraId="4C9FEA3E">
            <w:pPr>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一般固体废物</w:t>
            </w:r>
          </w:p>
          <w:p w14:paraId="16FD1434">
            <w:pPr>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lang w:val="en-US" w:eastAsia="zh-CN"/>
              </w:rPr>
              <w:t>除尘灰合计收集约为56.28t/a，除尘灰主要成分为氧化钙，与本项目成品成分一致，因此作为产品售卖</w:t>
            </w:r>
            <w:r>
              <w:rPr>
                <w:rFonts w:hint="eastAsia"/>
                <w:color w:val="auto"/>
                <w:sz w:val="24"/>
                <w:lang w:val="en-US" w:eastAsia="zh-CN"/>
              </w:rPr>
              <w:t>。</w:t>
            </w:r>
          </w:p>
          <w:p w14:paraId="2D25EE1C">
            <w:pPr>
              <w:spacing w:line="360" w:lineRule="auto"/>
              <w:ind w:firstLine="480" w:firstLineChars="200"/>
              <w:jc w:val="both"/>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（2）危险废物</w:t>
            </w:r>
          </w:p>
          <w:p w14:paraId="4FF6854A">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本项目产生的危险废物主要包括</w:t>
            </w:r>
            <w:r>
              <w:rPr>
                <w:rFonts w:hint="eastAsia" w:ascii="Times New Roman" w:hAnsi="Times New Roman" w:eastAsia="宋体" w:cs="Times New Roman"/>
                <w:color w:val="auto"/>
                <w:sz w:val="24"/>
                <w:szCs w:val="24"/>
                <w:highlight w:val="none"/>
                <w:lang w:eastAsia="zh-CN"/>
              </w:rPr>
              <w:t>废矿物油及废油桶</w:t>
            </w:r>
            <w:r>
              <w:rPr>
                <w:rFonts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厂区内已设置</w:t>
            </w:r>
            <w:r>
              <w:rPr>
                <w:rFonts w:ascii="Times New Roman" w:hAnsi="Times New Roman" w:eastAsia="宋体" w:cs="Times New Roman"/>
                <w:color w:val="auto"/>
                <w:sz w:val="24"/>
                <w:szCs w:val="24"/>
                <w:highlight w:val="none"/>
                <w:lang w:eastAsia="zh-CN"/>
              </w:rPr>
              <w:t>1座10m</w:t>
            </w:r>
            <w:r>
              <w:rPr>
                <w:rFonts w:ascii="Times New Roman" w:hAnsi="Times New Roman" w:eastAsia="宋体" w:cs="Times New Roman"/>
                <w:color w:val="auto"/>
                <w:sz w:val="24"/>
                <w:szCs w:val="24"/>
                <w:highlight w:val="none"/>
                <w:vertAlign w:val="superscript"/>
                <w:lang w:eastAsia="zh-CN"/>
              </w:rPr>
              <w:t>2</w:t>
            </w:r>
            <w:r>
              <w:rPr>
                <w:rFonts w:ascii="Times New Roman" w:hAnsi="Times New Roman" w:eastAsia="宋体" w:cs="Times New Roman"/>
                <w:color w:val="auto"/>
                <w:sz w:val="24"/>
                <w:szCs w:val="24"/>
                <w:highlight w:val="none"/>
                <w:lang w:eastAsia="zh-CN"/>
              </w:rPr>
              <w:t>的</w:t>
            </w: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w:t>
            </w:r>
          </w:p>
          <w:p w14:paraId="1EAE2EEB">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废矿物油</w:t>
            </w:r>
            <w:r>
              <w:rPr>
                <w:rFonts w:ascii="Times New Roman" w:hAnsi="Times New Roman" w:eastAsia="宋体" w:cs="Times New Roman"/>
                <w:color w:val="auto"/>
                <w:sz w:val="24"/>
                <w:szCs w:val="24"/>
                <w:highlight w:val="none"/>
                <w:lang w:eastAsia="zh-CN"/>
              </w:rPr>
              <w:t>：设备维护过程会产生少量的</w:t>
            </w:r>
            <w:r>
              <w:rPr>
                <w:rFonts w:hint="eastAsia" w:ascii="Times New Roman" w:hAnsi="Times New Roman" w:eastAsia="宋体" w:cs="Times New Roman"/>
                <w:color w:val="auto"/>
                <w:sz w:val="24"/>
                <w:szCs w:val="24"/>
                <w:highlight w:val="none"/>
                <w:lang w:eastAsia="zh-CN"/>
              </w:rPr>
              <w:t>废矿物油</w:t>
            </w:r>
            <w:r>
              <w:rPr>
                <w:rFonts w:ascii="Times New Roman" w:hAnsi="Times New Roman" w:eastAsia="宋体" w:cs="Times New Roman"/>
                <w:color w:val="auto"/>
                <w:sz w:val="24"/>
                <w:szCs w:val="24"/>
                <w:highlight w:val="none"/>
                <w:lang w:eastAsia="zh-CN"/>
              </w:rPr>
              <w:t>，根据《国家危险废物名录（2021版）》，</w:t>
            </w:r>
            <w:r>
              <w:rPr>
                <w:rFonts w:hint="eastAsia" w:ascii="Times New Roman" w:hAnsi="Times New Roman" w:eastAsia="宋体" w:cs="Times New Roman"/>
                <w:color w:val="auto"/>
                <w:sz w:val="24"/>
                <w:szCs w:val="24"/>
                <w:highlight w:val="none"/>
                <w:lang w:eastAsia="zh-CN"/>
              </w:rPr>
              <w:t>废矿物油</w:t>
            </w:r>
            <w:r>
              <w:rPr>
                <w:rFonts w:ascii="Times New Roman" w:hAnsi="Times New Roman" w:eastAsia="宋体" w:cs="Times New Roman"/>
                <w:color w:val="auto"/>
                <w:sz w:val="24"/>
                <w:szCs w:val="24"/>
                <w:highlight w:val="none"/>
                <w:lang w:eastAsia="zh-CN"/>
              </w:rPr>
              <w:t>属于危废“HW08废矿物油与含矿物油废物900-214-08”的“车辆、轮胎及其它机械维修过程中产生的废发动机油、制动器油、自动变速器油、齿轮油等</w:t>
            </w:r>
            <w:r>
              <w:rPr>
                <w:rFonts w:hint="eastAsia" w:ascii="Times New Roman" w:hAnsi="Times New Roman" w:eastAsia="宋体" w:cs="Times New Roman"/>
                <w:color w:val="auto"/>
                <w:sz w:val="24"/>
                <w:szCs w:val="24"/>
                <w:highlight w:val="none"/>
                <w:lang w:eastAsia="zh-CN"/>
              </w:rPr>
              <w:t>废矿物油</w:t>
            </w:r>
            <w:r>
              <w:rPr>
                <w:rFonts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eastAsia="zh-CN"/>
              </w:rPr>
              <w:t>废矿物油</w:t>
            </w:r>
            <w:r>
              <w:rPr>
                <w:rFonts w:ascii="Times New Roman" w:hAnsi="Times New Roman" w:eastAsia="宋体" w:cs="Times New Roman"/>
                <w:color w:val="auto"/>
                <w:sz w:val="24"/>
                <w:szCs w:val="24"/>
                <w:highlight w:val="none"/>
                <w:lang w:eastAsia="zh-CN"/>
              </w:rPr>
              <w:t>产生量约为</w:t>
            </w:r>
            <w:r>
              <w:rPr>
                <w:rFonts w:hint="eastAsia" w:ascii="Times New Roman" w:hAnsi="Times New Roman" w:eastAsia="宋体" w:cs="Times New Roman"/>
                <w:color w:val="auto"/>
                <w:sz w:val="24"/>
                <w:szCs w:val="24"/>
                <w:highlight w:val="none"/>
                <w:lang w:val="en-US" w:eastAsia="zh-CN"/>
              </w:rPr>
              <w:t>0.1</w:t>
            </w:r>
            <w:r>
              <w:rPr>
                <w:rFonts w:ascii="Times New Roman" w:hAnsi="Times New Roman" w:eastAsia="宋体" w:cs="Times New Roman"/>
                <w:color w:val="auto"/>
                <w:sz w:val="24"/>
                <w:szCs w:val="24"/>
                <w:highlight w:val="none"/>
                <w:lang w:eastAsia="zh-CN"/>
              </w:rPr>
              <w:t>t/a。</w:t>
            </w:r>
          </w:p>
          <w:p w14:paraId="36A0249D">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废油桶：废油桶属于危废“HW08废矿物油与含矿物油废物900-249-08其他生产、销售、使用过程中产生的废矿物油及沾染矿物油的废弃包装物”。本项目废油桶产生量约为</w:t>
            </w:r>
            <w:r>
              <w:rPr>
                <w:rFonts w:hint="eastAsia" w:ascii="Times New Roman" w:hAnsi="Times New Roman" w:eastAsia="宋体" w:cs="Times New Roman"/>
                <w:color w:val="auto"/>
                <w:sz w:val="24"/>
                <w:szCs w:val="24"/>
                <w:highlight w:val="none"/>
                <w:lang w:eastAsia="zh-CN"/>
              </w:rPr>
              <w:t>0.</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lang w:eastAsia="zh-CN"/>
              </w:rPr>
              <w:t>t/a。</w:t>
            </w:r>
          </w:p>
          <w:p w14:paraId="542E70D7">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szCs w:val="24"/>
                <w:highlight w:val="none"/>
                <w:lang w:val="en-US" w:eastAsia="zh-CN"/>
              </w:rPr>
              <w:t>危险废物</w:t>
            </w:r>
            <w:r>
              <w:rPr>
                <w:rFonts w:ascii="Times New Roman" w:hAnsi="Times New Roman" w:eastAsia="宋体" w:cs="Times New Roman"/>
                <w:color w:val="auto"/>
                <w:sz w:val="24"/>
                <w:szCs w:val="24"/>
                <w:highlight w:val="none"/>
                <w:lang w:eastAsia="zh-CN"/>
              </w:rPr>
              <w:t>暂存于</w:t>
            </w:r>
            <w:r>
              <w:rPr>
                <w:rFonts w:hint="eastAsia" w:ascii="Times New Roman" w:hAnsi="Times New Roman" w:eastAsia="宋体" w:cs="Times New Roman"/>
                <w:color w:val="auto"/>
                <w:sz w:val="24"/>
                <w:szCs w:val="24"/>
                <w:highlight w:val="none"/>
                <w:lang w:val="en-US" w:eastAsia="zh-CN"/>
              </w:rPr>
              <w:t>厂区现有</w:t>
            </w: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，经收集后交由有资质的单位</w:t>
            </w:r>
            <w:r>
              <w:rPr>
                <w:rFonts w:hint="eastAsia" w:ascii="Times New Roman" w:hAnsi="Times New Roman" w:eastAsia="宋体" w:cs="Times New Roman"/>
                <w:color w:val="auto"/>
                <w:sz w:val="24"/>
                <w:szCs w:val="24"/>
                <w:highlight w:val="none"/>
                <w:lang w:val="en-US" w:eastAsia="zh-CN"/>
              </w:rPr>
              <w:t>处置。</w:t>
            </w:r>
          </w:p>
          <w:p w14:paraId="051F4373">
            <w:pPr>
              <w:adjustRightInd w:val="0"/>
              <w:jc w:val="center"/>
              <w:rPr>
                <w:rFonts w:ascii="Times New Roman" w:hAnsi="Times New Roman" w:eastAsia="宋体" w:cs="Times New Roman"/>
                <w:b/>
                <w:color w:val="auto"/>
                <w:sz w:val="21"/>
                <w:szCs w:val="21"/>
                <w:lang w:eastAsia="zh-CN"/>
              </w:rPr>
            </w:pPr>
            <w:r>
              <w:rPr>
                <w:rFonts w:hint="eastAsia" w:ascii="Times New Roman" w:hAnsi="Times New Roman" w:eastAsia="宋体" w:cs="Times New Roman"/>
                <w:b/>
                <w:color w:val="auto"/>
                <w:sz w:val="21"/>
                <w:szCs w:val="21"/>
                <w:lang w:eastAsia="zh-CN"/>
              </w:rPr>
              <w:t>表4</w:t>
            </w:r>
            <w:r>
              <w:rPr>
                <w:rFonts w:hint="eastAsia" w:ascii="Times New Roman" w:hAnsi="Times New Roman" w:eastAsia="宋体" w:cs="Times New Roman"/>
                <w:b/>
                <w:color w:val="auto"/>
                <w:sz w:val="21"/>
                <w:szCs w:val="21"/>
                <w:lang w:val="en-US" w:eastAsia="zh-CN"/>
              </w:rPr>
              <w:t>.7</w:t>
            </w:r>
            <w:r>
              <w:rPr>
                <w:rFonts w:hint="eastAsia" w:ascii="Times New Roman" w:hAnsi="Times New Roman" w:eastAsia="宋体" w:cs="Times New Roman"/>
                <w:b/>
                <w:color w:val="auto"/>
                <w:sz w:val="21"/>
                <w:szCs w:val="21"/>
                <w:lang w:eastAsia="zh-CN"/>
              </w:rPr>
              <w:t>-</w:t>
            </w:r>
            <w:r>
              <w:rPr>
                <w:rFonts w:hint="eastAsia" w:ascii="Times New Roman" w:hAnsi="Times New Roman" w:eastAsia="宋体" w:cs="Times New Roman"/>
                <w:b/>
                <w:color w:val="auto"/>
                <w:sz w:val="21"/>
                <w:szCs w:val="21"/>
                <w:lang w:val="en-US" w:eastAsia="zh-CN"/>
              </w:rPr>
              <w:t>1</w:t>
            </w:r>
            <w:r>
              <w:rPr>
                <w:rFonts w:hint="eastAsia" w:ascii="Times New Roman" w:hAnsi="Times New Roman" w:eastAsia="宋体" w:cs="Times New Roman"/>
                <w:b/>
                <w:color w:val="auto"/>
                <w:sz w:val="21"/>
                <w:szCs w:val="21"/>
                <w:lang w:eastAsia="zh-CN"/>
              </w:rPr>
              <w:t xml:space="preserve">   项目固体废物产生及排放情况</w:t>
            </w:r>
          </w:p>
          <w:tbl>
            <w:tblPr>
              <w:tblStyle w:val="41"/>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64"/>
              <w:gridCol w:w="904"/>
              <w:gridCol w:w="909"/>
              <w:gridCol w:w="869"/>
              <w:gridCol w:w="868"/>
              <w:gridCol w:w="1107"/>
              <w:gridCol w:w="890"/>
              <w:gridCol w:w="752"/>
              <w:gridCol w:w="987"/>
            </w:tblGrid>
            <w:tr w14:paraId="30B43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864" w:type="dxa"/>
                  <w:vAlign w:val="center"/>
                </w:tcPr>
                <w:p w14:paraId="64ADC74A">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分类</w:t>
                  </w:r>
                </w:p>
              </w:tc>
              <w:tc>
                <w:tcPr>
                  <w:tcW w:w="904" w:type="dxa"/>
                  <w:vAlign w:val="center"/>
                </w:tcPr>
                <w:p w14:paraId="3BB42D07">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909" w:type="dxa"/>
                  <w:vAlign w:val="center"/>
                </w:tcPr>
                <w:p w14:paraId="2B346D15">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主要成分</w:t>
                  </w:r>
                </w:p>
              </w:tc>
              <w:tc>
                <w:tcPr>
                  <w:tcW w:w="869" w:type="dxa"/>
                  <w:vAlign w:val="center"/>
                </w:tcPr>
                <w:p w14:paraId="5790EE4B">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代码</w:t>
                  </w:r>
                </w:p>
              </w:tc>
              <w:tc>
                <w:tcPr>
                  <w:tcW w:w="868" w:type="dxa"/>
                  <w:vAlign w:val="center"/>
                </w:tcPr>
                <w:p w14:paraId="2F6CCB98">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 （t/a）</w:t>
                  </w:r>
                </w:p>
              </w:tc>
              <w:tc>
                <w:tcPr>
                  <w:tcW w:w="1107" w:type="dxa"/>
                  <w:vAlign w:val="center"/>
                </w:tcPr>
                <w:p w14:paraId="196BBC28">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综合利用量</w:t>
                  </w:r>
                </w:p>
                <w:p w14:paraId="24769D2B">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890" w:type="dxa"/>
                  <w:vAlign w:val="center"/>
                </w:tcPr>
                <w:p w14:paraId="5FAE1BA2">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处置量 （t/a）</w:t>
                  </w:r>
                </w:p>
              </w:tc>
              <w:tc>
                <w:tcPr>
                  <w:tcW w:w="752" w:type="dxa"/>
                  <w:vAlign w:val="center"/>
                </w:tcPr>
                <w:p w14:paraId="2A412D2A">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产废</w:t>
                  </w:r>
                </w:p>
                <w:p w14:paraId="145B674D">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周期</w:t>
                  </w:r>
                </w:p>
              </w:tc>
              <w:tc>
                <w:tcPr>
                  <w:tcW w:w="987" w:type="dxa"/>
                  <w:vAlign w:val="center"/>
                </w:tcPr>
                <w:p w14:paraId="44A3762D">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综合利用或处置措施</w:t>
                  </w:r>
                </w:p>
              </w:tc>
            </w:tr>
            <w:tr w14:paraId="44A4B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864" w:type="dxa"/>
                  <w:vAlign w:val="center"/>
                </w:tcPr>
                <w:p w14:paraId="56364872">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 固废</w:t>
                  </w:r>
                </w:p>
              </w:tc>
              <w:tc>
                <w:tcPr>
                  <w:tcW w:w="904" w:type="dxa"/>
                  <w:vAlign w:val="center"/>
                </w:tcPr>
                <w:p w14:paraId="2CDCBC4F">
                  <w:pPr>
                    <w:jc w:val="center"/>
                    <w:rPr>
                      <w:rFonts w:hint="default" w:ascii="Times New Roman" w:hAnsi="Times New Roman" w:eastAsia="宋体" w:cs="Times New Roman"/>
                      <w:color w:val="auto"/>
                      <w:spacing w:val="2"/>
                      <w:kern w:val="2"/>
                      <w:sz w:val="21"/>
                      <w:szCs w:val="21"/>
                      <w:highlight w:val="none"/>
                      <w:lang w:val="en-US" w:eastAsia="zh-CN" w:bidi="ar-SA"/>
                    </w:rPr>
                  </w:pPr>
                  <w:r>
                    <w:rPr>
                      <w:rFonts w:hint="eastAsia" w:ascii="Times New Roman" w:hAnsi="Times New Roman" w:eastAsia="宋体" w:cs="Times New Roman"/>
                      <w:b w:val="0"/>
                      <w:bCs w:val="0"/>
                      <w:color w:val="auto"/>
                      <w:sz w:val="21"/>
                      <w:szCs w:val="21"/>
                      <w:lang w:val="en-US" w:eastAsia="zh-CN"/>
                    </w:rPr>
                    <w:t>除尘灰</w:t>
                  </w:r>
                </w:p>
              </w:tc>
              <w:tc>
                <w:tcPr>
                  <w:tcW w:w="909" w:type="dxa"/>
                  <w:vAlign w:val="center"/>
                </w:tcPr>
                <w:p w14:paraId="6D1C8B8B">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氧化钙</w:t>
                  </w:r>
                </w:p>
              </w:tc>
              <w:tc>
                <w:tcPr>
                  <w:tcW w:w="869" w:type="dxa"/>
                  <w:vAlign w:val="center"/>
                </w:tcPr>
                <w:p w14:paraId="5E49161A">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900-099-S59</w:t>
                  </w:r>
                </w:p>
              </w:tc>
              <w:tc>
                <w:tcPr>
                  <w:tcW w:w="868" w:type="dxa"/>
                  <w:vAlign w:val="center"/>
                </w:tcPr>
                <w:p w14:paraId="1C8F9C85">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z w:val="21"/>
                      <w:szCs w:val="21"/>
                      <w:lang w:val="en-US" w:eastAsia="zh-CN"/>
                    </w:rPr>
                    <w:t>56.28</w:t>
                  </w:r>
                </w:p>
              </w:tc>
              <w:tc>
                <w:tcPr>
                  <w:tcW w:w="1107" w:type="dxa"/>
                  <w:vAlign w:val="center"/>
                </w:tcPr>
                <w:p w14:paraId="0C8B8926">
                  <w:pPr>
                    <w:pStyle w:val="79"/>
                    <w:autoSpaceDE w:val="0"/>
                    <w:autoSpaceDN w:val="0"/>
                    <w:ind w:left="0" w:leftChars="0" w:right="0" w:rightChars="0"/>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lang w:val="en-US" w:eastAsia="zh-CN"/>
                    </w:rPr>
                    <w:t>56.28</w:t>
                  </w:r>
                </w:p>
              </w:tc>
              <w:tc>
                <w:tcPr>
                  <w:tcW w:w="890" w:type="dxa"/>
                  <w:vAlign w:val="center"/>
                </w:tcPr>
                <w:p w14:paraId="7C4B3F0E">
                  <w:pPr>
                    <w:pStyle w:val="79"/>
                    <w:autoSpaceDE w:val="0"/>
                    <w:autoSpaceDN w:val="0"/>
                    <w:ind w:left="0" w:leftChars="0" w:right="0" w:rightChars="0"/>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52" w:type="dxa"/>
                  <w:vAlign w:val="center"/>
                </w:tcPr>
                <w:p w14:paraId="07E895B7">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每天</w:t>
                  </w:r>
                </w:p>
              </w:tc>
              <w:tc>
                <w:tcPr>
                  <w:tcW w:w="987" w:type="dxa"/>
                  <w:vAlign w:val="center"/>
                </w:tcPr>
                <w:p w14:paraId="7DBCD463">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作为成品外售</w:t>
                  </w:r>
                </w:p>
              </w:tc>
            </w:tr>
            <w:tr w14:paraId="4CB10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864" w:type="dxa"/>
                  <w:vMerge w:val="restart"/>
                  <w:vAlign w:val="center"/>
                </w:tcPr>
                <w:p w14:paraId="2A962A7D">
                  <w:pPr>
                    <w:pStyle w:val="79"/>
                    <w:autoSpaceDE w:val="0"/>
                    <w:autoSpaceDN w:val="0"/>
                    <w:ind w:left="0" w:leftChars="0" w:right="0" w:rightChars="0"/>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904" w:type="dxa"/>
                  <w:vAlign w:val="center"/>
                </w:tcPr>
                <w:p w14:paraId="08FB070D">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废矿物油</w:t>
                  </w:r>
                </w:p>
              </w:tc>
              <w:tc>
                <w:tcPr>
                  <w:tcW w:w="909" w:type="dxa"/>
                  <w:vAlign w:val="center"/>
                </w:tcPr>
                <w:p w14:paraId="7D929DA4">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69" w:type="dxa"/>
                  <w:vAlign w:val="center"/>
                </w:tcPr>
                <w:p w14:paraId="3C23E45B">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ascii="Times New Roman" w:hAnsi="Times New Roman" w:eastAsia="宋体" w:cs="Times New Roman"/>
                      <w:color w:val="auto"/>
                      <w:sz w:val="21"/>
                      <w:szCs w:val="21"/>
                      <w:highlight w:val="none"/>
                      <w:lang w:eastAsia="zh-CN"/>
                    </w:rPr>
                    <w:t>900-214-08</w:t>
                  </w:r>
                </w:p>
              </w:tc>
              <w:tc>
                <w:tcPr>
                  <w:tcW w:w="868" w:type="dxa"/>
                  <w:vAlign w:val="center"/>
                </w:tcPr>
                <w:p w14:paraId="5B9FAC49">
                  <w:pPr>
                    <w:pStyle w:val="79"/>
                    <w:autoSpaceDE w:val="0"/>
                    <w:autoSpaceDN w:val="0"/>
                    <w:ind w:left="0" w:leftChars="0" w:right="0" w:rightChars="0"/>
                    <w:outlineLvl w:val="9"/>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w:t>
                  </w:r>
                </w:p>
              </w:tc>
              <w:tc>
                <w:tcPr>
                  <w:tcW w:w="1107" w:type="dxa"/>
                  <w:vAlign w:val="center"/>
                </w:tcPr>
                <w:p w14:paraId="106BE1E9">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890" w:type="dxa"/>
                  <w:vAlign w:val="center"/>
                </w:tcPr>
                <w:p w14:paraId="34EC4265">
                  <w:pPr>
                    <w:pStyle w:val="79"/>
                    <w:autoSpaceDE w:val="0"/>
                    <w:autoSpaceDN w:val="0"/>
                    <w:ind w:left="0" w:leftChars="0" w:right="0" w:rightChars="0"/>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w:t>
                  </w:r>
                </w:p>
              </w:tc>
              <w:tc>
                <w:tcPr>
                  <w:tcW w:w="752" w:type="dxa"/>
                  <w:vAlign w:val="center"/>
                </w:tcPr>
                <w:p w14:paraId="16CCFAD5">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6个</w:t>
                  </w:r>
                  <w:r>
                    <w:rPr>
                      <w:rFonts w:ascii="Times New Roman" w:hAnsi="Times New Roman" w:eastAsia="宋体" w:cs="Times New Roman"/>
                      <w:color w:val="auto"/>
                      <w:sz w:val="21"/>
                      <w:szCs w:val="21"/>
                      <w:highlight w:val="none"/>
                      <w:lang w:eastAsia="zh-CN"/>
                    </w:rPr>
                    <w:t>月</w:t>
                  </w:r>
                </w:p>
              </w:tc>
              <w:tc>
                <w:tcPr>
                  <w:tcW w:w="987" w:type="dxa"/>
                  <w:vMerge w:val="restart"/>
                  <w:vAlign w:val="center"/>
                </w:tcPr>
                <w:p w14:paraId="34871741">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lang w:eastAsia="zh-CN"/>
                    </w:rPr>
                    <w:t>收集至</w:t>
                  </w:r>
                  <w:r>
                    <w:rPr>
                      <w:rFonts w:hint="eastAsia" w:ascii="Times New Roman" w:hAnsi="Times New Roman" w:eastAsia="宋体" w:cs="Times New Roman"/>
                      <w:color w:val="auto"/>
                      <w:sz w:val="21"/>
                      <w:szCs w:val="21"/>
                      <w:highlight w:val="none"/>
                      <w:lang w:eastAsia="zh-CN"/>
                    </w:rPr>
                    <w:t>危险废物临时贮存库</w:t>
                  </w:r>
                  <w:r>
                    <w:rPr>
                      <w:rFonts w:ascii="Times New Roman" w:hAnsi="Times New Roman" w:eastAsia="宋体" w:cs="Times New Roman"/>
                      <w:color w:val="auto"/>
                      <w:sz w:val="21"/>
                      <w:szCs w:val="21"/>
                      <w:highlight w:val="none"/>
                      <w:lang w:eastAsia="zh-CN"/>
                    </w:rPr>
                    <w:t>内，定期交由有资质的单位处置。</w:t>
                  </w:r>
                </w:p>
              </w:tc>
            </w:tr>
            <w:tr w14:paraId="69893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864" w:type="dxa"/>
                  <w:vMerge w:val="continue"/>
                  <w:vAlign w:val="center"/>
                </w:tcPr>
                <w:p w14:paraId="631A82CD">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rPr>
                  </w:pPr>
                </w:p>
              </w:tc>
              <w:tc>
                <w:tcPr>
                  <w:tcW w:w="904" w:type="dxa"/>
                  <w:vAlign w:val="center"/>
                </w:tcPr>
                <w:p w14:paraId="6C9E8797">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ascii="Times New Roman" w:hAnsi="Times New Roman" w:eastAsia="宋体" w:cs="Times New Roman"/>
                      <w:color w:val="auto"/>
                      <w:sz w:val="21"/>
                      <w:szCs w:val="21"/>
                      <w:highlight w:val="none"/>
                      <w:lang w:eastAsia="zh-CN"/>
                    </w:rPr>
                    <w:t>废油桶</w:t>
                  </w:r>
                </w:p>
              </w:tc>
              <w:tc>
                <w:tcPr>
                  <w:tcW w:w="909" w:type="dxa"/>
                  <w:vAlign w:val="center"/>
                </w:tcPr>
                <w:p w14:paraId="56DB6DD8">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69" w:type="dxa"/>
                  <w:vAlign w:val="center"/>
                </w:tcPr>
                <w:p w14:paraId="56472DB6">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ascii="Times New Roman" w:hAnsi="Times New Roman" w:eastAsia="宋体" w:cs="Times New Roman"/>
                      <w:color w:val="auto"/>
                      <w:sz w:val="21"/>
                      <w:szCs w:val="21"/>
                      <w:highlight w:val="none"/>
                      <w:lang w:eastAsia="zh-CN"/>
                    </w:rPr>
                    <w:t>900-249-08</w:t>
                  </w:r>
                </w:p>
              </w:tc>
              <w:tc>
                <w:tcPr>
                  <w:tcW w:w="868" w:type="dxa"/>
                  <w:vAlign w:val="center"/>
                </w:tcPr>
                <w:p w14:paraId="4BA5F809">
                  <w:pPr>
                    <w:pStyle w:val="79"/>
                    <w:autoSpaceDE w:val="0"/>
                    <w:autoSpaceDN w:val="0"/>
                    <w:ind w:left="0" w:leftChars="0" w:right="0" w:rightChars="0"/>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w:t>
                  </w:r>
                </w:p>
              </w:tc>
              <w:tc>
                <w:tcPr>
                  <w:tcW w:w="1107" w:type="dxa"/>
                  <w:vAlign w:val="center"/>
                </w:tcPr>
                <w:p w14:paraId="0B08EEDA">
                  <w:pPr>
                    <w:pStyle w:val="79"/>
                    <w:autoSpaceDE w:val="0"/>
                    <w:autoSpaceDN w:val="0"/>
                    <w:ind w:left="0" w:leftChars="0" w:right="0" w:rightChars="0"/>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890" w:type="dxa"/>
                  <w:vAlign w:val="center"/>
                </w:tcPr>
                <w:p w14:paraId="28732877">
                  <w:pPr>
                    <w:pStyle w:val="79"/>
                    <w:autoSpaceDE w:val="0"/>
                    <w:autoSpaceDN w:val="0"/>
                    <w:ind w:left="0" w:leftChars="0" w:right="0" w:rightChars="0"/>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w:t>
                  </w:r>
                </w:p>
              </w:tc>
              <w:tc>
                <w:tcPr>
                  <w:tcW w:w="752" w:type="dxa"/>
                  <w:vAlign w:val="center"/>
                </w:tcPr>
                <w:p w14:paraId="7006586F">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6个</w:t>
                  </w:r>
                  <w:r>
                    <w:rPr>
                      <w:rFonts w:ascii="Times New Roman" w:hAnsi="Times New Roman" w:eastAsia="宋体" w:cs="Times New Roman"/>
                      <w:color w:val="auto"/>
                      <w:sz w:val="21"/>
                      <w:szCs w:val="21"/>
                      <w:highlight w:val="none"/>
                      <w:lang w:eastAsia="zh-CN"/>
                    </w:rPr>
                    <w:t>月</w:t>
                  </w:r>
                </w:p>
              </w:tc>
              <w:tc>
                <w:tcPr>
                  <w:tcW w:w="987" w:type="dxa"/>
                  <w:vMerge w:val="continue"/>
                  <w:vAlign w:val="center"/>
                </w:tcPr>
                <w:p w14:paraId="29A5C2A1">
                  <w:pPr>
                    <w:pStyle w:val="79"/>
                    <w:autoSpaceDE w:val="0"/>
                    <w:autoSpaceDN w:val="0"/>
                    <w:ind w:left="0" w:leftChars="0" w:right="0" w:rightChars="0"/>
                    <w:outlineLvl w:val="9"/>
                    <w:rPr>
                      <w:rFonts w:hint="default" w:ascii="Times New Roman" w:hAnsi="Times New Roman" w:eastAsia="宋体" w:cs="Times New Roman"/>
                      <w:color w:val="auto"/>
                      <w:sz w:val="21"/>
                      <w:szCs w:val="21"/>
                      <w:highlight w:val="none"/>
                      <w:lang w:val="en-US" w:eastAsia="zh-CN"/>
                    </w:rPr>
                  </w:pPr>
                </w:p>
              </w:tc>
            </w:tr>
          </w:tbl>
          <w:p w14:paraId="7224C5A6">
            <w:pPr>
              <w:spacing w:line="360" w:lineRule="auto"/>
              <w:ind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4.7.2 危险废物环境管理要求</w:t>
            </w:r>
          </w:p>
          <w:p w14:paraId="358F1975">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需按照相应危废处置环保法规的要求设置</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现有</w:t>
            </w:r>
            <w:r>
              <w:rPr>
                <w:rFonts w:ascii="Times New Roman" w:hAnsi="Times New Roman" w:eastAsia="宋体" w:cs="Times New Roman"/>
                <w:color w:val="auto"/>
                <w:sz w:val="24"/>
                <w:szCs w:val="24"/>
                <w:highlight w:val="none"/>
                <w:lang w:eastAsia="zh-CN"/>
              </w:rPr>
              <w:t>暂存场地面为钢筋混凝土，防止包装破损产生沥出液的渗漏，暂存场地设有顶棚，防止雨水冲刷产生的二次污染，即做到</w:t>
            </w:r>
            <w:r>
              <w:rPr>
                <w:rFonts w:hint="eastAsia" w:ascii="Times New Roman" w:hAnsi="Times New Roman" w:eastAsia="宋体" w:cs="Times New Roman"/>
                <w:color w:val="auto"/>
                <w:sz w:val="24"/>
                <w:szCs w:val="24"/>
                <w:highlight w:val="none"/>
                <w:lang w:val="en-US" w:eastAsia="zh-CN"/>
              </w:rPr>
              <w:t>“六防”</w:t>
            </w:r>
            <w:r>
              <w:rPr>
                <w:rFonts w:ascii="Times New Roman" w:hAnsi="Times New Roman" w:eastAsia="宋体" w:cs="Times New Roman"/>
                <w:color w:val="auto"/>
                <w:sz w:val="24"/>
                <w:szCs w:val="24"/>
                <w:highlight w:val="none"/>
                <w:lang w:eastAsia="zh-CN"/>
              </w:rPr>
              <w:t>效果。根据《危险废物贮存污染控制标准》（GB18597-20</w:t>
            </w:r>
            <w:r>
              <w:rPr>
                <w:rFonts w:hint="eastAsia" w:ascii="Times New Roman" w:hAnsi="Times New Roman" w:eastAsia="宋体" w:cs="Times New Roman"/>
                <w:color w:val="auto"/>
                <w:sz w:val="24"/>
                <w:szCs w:val="24"/>
                <w:highlight w:val="none"/>
                <w:lang w:val="en-US" w:eastAsia="zh-CN"/>
              </w:rPr>
              <w:t>23</w:t>
            </w:r>
            <w:r>
              <w:rPr>
                <w:rFonts w:ascii="Times New Roman" w:hAnsi="Times New Roman" w:eastAsia="宋体" w:cs="Times New Roman"/>
                <w:color w:val="auto"/>
                <w:sz w:val="24"/>
                <w:szCs w:val="24"/>
                <w:highlight w:val="none"/>
                <w:lang w:eastAsia="zh-CN"/>
              </w:rPr>
              <w:t>）、《危险废物转移联单管理办法》（国家环境保护总局令第5号）及《建设项目危险废物环境影响评价指南》（环保部公告2017年第43号）的要求，本次环评对项目产生危险废物建设、贮存、管理提出以下要求：</w:t>
            </w:r>
          </w:p>
          <w:p w14:paraId="18385591">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1）危险废物储存要求：</w:t>
            </w:r>
          </w:p>
          <w:p w14:paraId="004CF28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①危险废物要分开储存，分别存放在坚固的容器内，根据生产过程的特点，属性分别设置危废储存器，直接从生产线收集，储存器为开孔直径不超过70mm并有放气孔的高密度聚乙烯桶；容器上应贴上符合危险废物种类的相应标签。堆放危险废物的高度应根据地面承载能力确定。</w:t>
            </w:r>
          </w:p>
          <w:p w14:paraId="600527A9">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②暂存间地面与裙角要用坚固的防渗材料建造，建筑材料必须与危险废物相容，防渗层为至少1m厚的</w:t>
            </w:r>
            <w:r>
              <w:rPr>
                <w:rFonts w:hint="eastAsia" w:ascii="Times New Roman" w:hAnsi="Times New Roman" w:eastAsia="宋体" w:cs="Times New Roman"/>
                <w:color w:val="auto"/>
                <w:sz w:val="24"/>
                <w:szCs w:val="24"/>
                <w:highlight w:val="none"/>
                <w:lang w:eastAsia="zh-CN"/>
              </w:rPr>
              <w:t>粘土</w:t>
            </w:r>
            <w:r>
              <w:rPr>
                <w:rFonts w:ascii="Times New Roman" w:hAnsi="Times New Roman" w:eastAsia="宋体" w:cs="Times New Roman"/>
                <w:color w:val="auto"/>
                <w:sz w:val="24"/>
                <w:szCs w:val="24"/>
                <w:highlight w:val="none"/>
                <w:lang w:eastAsia="zh-CN"/>
              </w:rPr>
              <w:t>层(渗透系数≤10</w:t>
            </w:r>
            <w:r>
              <w:rPr>
                <w:rFonts w:ascii="Times New Roman" w:hAnsi="Times New Roman" w:eastAsia="宋体" w:cs="Times New Roman"/>
                <w:color w:val="auto"/>
                <w:sz w:val="24"/>
                <w:szCs w:val="24"/>
                <w:highlight w:val="none"/>
                <w:vertAlign w:val="superscript"/>
                <w:lang w:eastAsia="zh-CN"/>
              </w:rPr>
              <w:t>-7</w:t>
            </w:r>
            <w:r>
              <w:rPr>
                <w:rFonts w:ascii="Times New Roman" w:hAnsi="Times New Roman" w:eastAsia="宋体" w:cs="Times New Roman"/>
                <w:color w:val="auto"/>
                <w:sz w:val="24"/>
                <w:szCs w:val="24"/>
                <w:highlight w:val="none"/>
                <w:lang w:eastAsia="zh-CN"/>
              </w:rPr>
              <w:t>cm/s)，或2mm厚高密度聚乙烯，或者至少2mm厚的其他人工材料，渗透系数≤10</w:t>
            </w:r>
            <w:r>
              <w:rPr>
                <w:rFonts w:ascii="Times New Roman" w:hAnsi="Times New Roman" w:eastAsia="宋体" w:cs="Times New Roman"/>
                <w:color w:val="auto"/>
                <w:sz w:val="24"/>
                <w:szCs w:val="24"/>
                <w:highlight w:val="none"/>
                <w:vertAlign w:val="superscript"/>
                <w:lang w:eastAsia="zh-CN"/>
              </w:rPr>
              <w:t>-10</w:t>
            </w:r>
            <w:r>
              <w:rPr>
                <w:rFonts w:ascii="Times New Roman" w:hAnsi="Times New Roman" w:eastAsia="宋体" w:cs="Times New Roman"/>
                <w:color w:val="auto"/>
                <w:sz w:val="24"/>
                <w:szCs w:val="24"/>
                <w:highlight w:val="none"/>
                <w:lang w:eastAsia="zh-CN"/>
              </w:rPr>
              <w:t>cm/s。</w:t>
            </w:r>
          </w:p>
          <w:p w14:paraId="64F27861">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③贮存间设置明显的贮存危险废物种类标识和警示标识，并在贮存场周围显著处标记“严禁烟火”的禁示牌。</w:t>
            </w:r>
          </w:p>
          <w:p w14:paraId="57BD8385">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④厂内要有专人管理危险废物，危险废物出入贮存间前，应登记造册，做好记录，注明危险废物的名称、来源、数量、特性、入库日期、出库日期、接受单位等。</w:t>
            </w:r>
          </w:p>
          <w:p w14:paraId="1A69ACA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⑤定期对所贮存的危险废物包装容器及贮存设施进行检查，发现破损及时清理更换。</w:t>
            </w:r>
          </w:p>
          <w:p w14:paraId="4CE55FA9">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⑥危险废物应按照国家有关规定向当地环境保护行政主管部门申报登记，接受当地环境保护行政主管部门监督管理。危险废物应按照国家有关规定向当地环境保护行政主管部门申报登记，接受当地环境保护行政主管部门监督管理。</w:t>
            </w:r>
          </w:p>
          <w:p w14:paraId="4C6FE95D">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2）危险废物贮存容器</w:t>
            </w:r>
          </w:p>
          <w:p w14:paraId="2A435B77">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①应当使用符合标准的容器盛装危险废物；</w:t>
            </w:r>
          </w:p>
          <w:p w14:paraId="1C322F2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②装载危险废物的容器及材质要满足相应的强度要求；</w:t>
            </w:r>
          </w:p>
          <w:p w14:paraId="4562F951">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③装载危险废物的容器必须完好无损；</w:t>
            </w:r>
          </w:p>
          <w:p w14:paraId="1D2F8A8E">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④装载危险废物的容器材质和衬里要与危险废物相容(不相互反应)；</w:t>
            </w:r>
          </w:p>
          <w:p w14:paraId="00B2F9B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⑤液体危险废物可注入开孔直径不超过70mm并有放气孔的桶中；</w:t>
            </w:r>
          </w:p>
          <w:p w14:paraId="78C7699A">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⑥无法装入常用容器的危险废物可用防漏胶袋等盛装。</w:t>
            </w:r>
          </w:p>
          <w:p w14:paraId="1CD43365">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3）</w:t>
            </w: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的建设要求</w:t>
            </w:r>
          </w:p>
          <w:p w14:paraId="38BB8AA2">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本企业已设置</w:t>
            </w: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位于</w:t>
            </w:r>
            <w:r>
              <w:rPr>
                <w:rFonts w:hint="eastAsia" w:ascii="Times New Roman" w:hAnsi="Times New Roman" w:eastAsia="宋体" w:cs="Times New Roman"/>
                <w:color w:val="auto"/>
                <w:sz w:val="24"/>
                <w:szCs w:val="24"/>
                <w:highlight w:val="none"/>
                <w:lang w:val="en-US" w:eastAsia="zh-CN"/>
              </w:rPr>
              <w:t>厂区中部，</w:t>
            </w:r>
            <w:r>
              <w:rPr>
                <w:rFonts w:ascii="Times New Roman" w:hAnsi="Times New Roman" w:eastAsia="宋体" w:cs="Times New Roman"/>
                <w:color w:val="auto"/>
                <w:sz w:val="24"/>
                <w:szCs w:val="24"/>
                <w:highlight w:val="none"/>
                <w:lang w:eastAsia="zh-CN"/>
              </w:rPr>
              <w:t>面积为10m</w:t>
            </w:r>
            <w:r>
              <w:rPr>
                <w:rFonts w:ascii="Times New Roman" w:hAnsi="Times New Roman" w:eastAsia="宋体" w:cs="Times New Roman"/>
                <w:color w:val="auto"/>
                <w:sz w:val="24"/>
                <w:szCs w:val="24"/>
                <w:highlight w:val="none"/>
                <w:vertAlign w:val="superscript"/>
                <w:lang w:eastAsia="zh-CN"/>
              </w:rPr>
              <w:t>2</w:t>
            </w:r>
            <w:r>
              <w:rPr>
                <w:rFonts w:ascii="Times New Roman" w:hAnsi="Times New Roman" w:eastAsia="宋体" w:cs="Times New Roman"/>
                <w:color w:val="auto"/>
                <w:sz w:val="24"/>
                <w:szCs w:val="24"/>
                <w:highlight w:val="none"/>
                <w:lang w:eastAsia="zh-CN"/>
              </w:rPr>
              <w:t>，用于生产过程产生的各类危险废物，危险废物在厂区暂存后定期交由有资质单位回收处置。</w:t>
            </w:r>
          </w:p>
          <w:p w14:paraId="2AC89EA5">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1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①</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按照《危险废物贮存污染控制标准》（GB18597-20</w:t>
            </w:r>
            <w:r>
              <w:rPr>
                <w:rFonts w:hint="eastAsia" w:ascii="Times New Roman" w:hAnsi="Times New Roman" w:eastAsia="宋体" w:cs="Times New Roman"/>
                <w:color w:val="auto"/>
                <w:sz w:val="24"/>
                <w:szCs w:val="24"/>
                <w:highlight w:val="none"/>
                <w:lang w:val="en-US" w:eastAsia="zh-CN"/>
              </w:rPr>
              <w:t>23</w:t>
            </w:r>
            <w:r>
              <w:rPr>
                <w:rFonts w:ascii="Times New Roman" w:hAnsi="Times New Roman" w:eastAsia="宋体" w:cs="Times New Roman"/>
                <w:color w:val="auto"/>
                <w:sz w:val="24"/>
                <w:szCs w:val="24"/>
                <w:highlight w:val="none"/>
                <w:lang w:eastAsia="zh-CN"/>
              </w:rPr>
              <w:t>）的有关要求进行建设和管理；</w:t>
            </w:r>
          </w:p>
          <w:p w14:paraId="554F9FC2">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2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②</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危险废物暂存库房应采取防渗漏措施，基础必须进行防渗处理，防渗层为至少1m厚的</w:t>
            </w:r>
            <w:r>
              <w:rPr>
                <w:rFonts w:hint="eastAsia" w:ascii="Times New Roman" w:hAnsi="Times New Roman" w:eastAsia="宋体" w:cs="Times New Roman"/>
                <w:color w:val="auto"/>
                <w:sz w:val="24"/>
                <w:szCs w:val="24"/>
                <w:highlight w:val="none"/>
                <w:lang w:eastAsia="zh-CN"/>
              </w:rPr>
              <w:t>粘土</w:t>
            </w:r>
            <w:r>
              <w:rPr>
                <w:rFonts w:ascii="Times New Roman" w:hAnsi="Times New Roman" w:eastAsia="宋体" w:cs="Times New Roman"/>
                <w:color w:val="auto"/>
                <w:sz w:val="24"/>
                <w:szCs w:val="24"/>
                <w:highlight w:val="none"/>
                <w:lang w:eastAsia="zh-CN"/>
              </w:rPr>
              <w:t>层（渗透系数≤1×10</w:t>
            </w:r>
            <w:r>
              <w:rPr>
                <w:rFonts w:ascii="Times New Roman" w:hAnsi="Times New Roman" w:eastAsia="宋体" w:cs="Times New Roman"/>
                <w:color w:val="auto"/>
                <w:sz w:val="24"/>
                <w:szCs w:val="24"/>
                <w:highlight w:val="none"/>
                <w:vertAlign w:val="superscript"/>
                <w:lang w:eastAsia="zh-CN"/>
              </w:rPr>
              <w:t>-7</w:t>
            </w:r>
            <w:r>
              <w:rPr>
                <w:rFonts w:ascii="Times New Roman" w:hAnsi="Times New Roman" w:eastAsia="宋体" w:cs="Times New Roman"/>
                <w:color w:val="auto"/>
                <w:sz w:val="24"/>
                <w:szCs w:val="24"/>
                <w:highlight w:val="none"/>
                <w:lang w:eastAsia="zh-CN"/>
              </w:rPr>
              <w:t>cm/s）或2mm厚的高密度聚乙烯，或至少2mm厚的其它人工材料，渗透系数≤1×10</w:t>
            </w:r>
            <w:r>
              <w:rPr>
                <w:rFonts w:ascii="Times New Roman" w:hAnsi="Times New Roman" w:eastAsia="宋体" w:cs="Times New Roman"/>
                <w:color w:val="auto"/>
                <w:sz w:val="24"/>
                <w:szCs w:val="24"/>
                <w:highlight w:val="none"/>
                <w:vertAlign w:val="superscript"/>
                <w:lang w:eastAsia="zh-CN"/>
              </w:rPr>
              <w:t>-10</w:t>
            </w:r>
            <w:r>
              <w:rPr>
                <w:rFonts w:ascii="Times New Roman" w:hAnsi="Times New Roman" w:eastAsia="宋体" w:cs="Times New Roman"/>
                <w:color w:val="auto"/>
                <w:sz w:val="24"/>
                <w:szCs w:val="24"/>
                <w:highlight w:val="none"/>
                <w:lang w:eastAsia="zh-CN"/>
              </w:rPr>
              <w:t>cm/s，地面加覆0.5mm厚环氧树脂膜；</w:t>
            </w:r>
          </w:p>
          <w:p w14:paraId="08ADAF7C">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3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③</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库内设置导流槽、集液池，库内四周30cm墙裙采用防渗、防腐处理，建筑外设置围堰和雨水导流沟，防止暴雨时雨水浸没，造成环境事故；</w:t>
            </w:r>
          </w:p>
          <w:p w14:paraId="7D1B405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4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④</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在入口处设置围脚，可以拦截事故时泄漏物料，库内必须设置有泄露液体收集装置、气体导出口及气体净化装置；</w:t>
            </w:r>
          </w:p>
          <w:p w14:paraId="2C845E88">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5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⑤</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设施内要有安全照明装置和观察窗口；用以存放装载液体、半固体危险废物容器的地方，必须设置耐腐蚀的硬化地面，且表面无裂缝；</w:t>
            </w:r>
          </w:p>
          <w:p w14:paraId="50D4BBBB">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6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⑥</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地面与裙脚要用坚固、防渗的材料建造，建筑材料必须与危险废物相容，应设计堵载液体的裙脚，地面与裙脚所围建的容积不低于堵截最大容器的最大储量或总量的1/5；</w:t>
            </w:r>
          </w:p>
          <w:p w14:paraId="273C5208">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7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⑦</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不相容的危险废物必须分开存放，并设置有隔离间隔断；</w:t>
            </w:r>
          </w:p>
          <w:p w14:paraId="72643707">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8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⑧</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配备相应的消防、报警等设备。</w:t>
            </w:r>
          </w:p>
          <w:p w14:paraId="0A05BE12">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9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⑨</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堆放危险废物的高度应根据地面承载能力确定。</w:t>
            </w:r>
          </w:p>
          <w:p w14:paraId="052125E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4）</w:t>
            </w: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的管理要求</w:t>
            </w:r>
          </w:p>
          <w:p w14:paraId="1BF94069">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2017年9月1日环境保护部办公厅印发了《建设项目危险废物环境影响评价指南》，根据该《指南》，本报告对</w:t>
            </w:r>
            <w:r>
              <w:rPr>
                <w:rFonts w:hint="eastAsia" w:ascii="Times New Roman" w:hAnsi="Times New Roman" w:eastAsia="宋体" w:cs="Times New Roman"/>
                <w:color w:val="auto"/>
                <w:sz w:val="24"/>
                <w:szCs w:val="24"/>
                <w:highlight w:val="none"/>
                <w:lang w:eastAsia="zh-CN"/>
              </w:rPr>
              <w:t>危险废物临时贮存库</w:t>
            </w:r>
            <w:r>
              <w:rPr>
                <w:rFonts w:ascii="Times New Roman" w:hAnsi="Times New Roman" w:eastAsia="宋体" w:cs="Times New Roman"/>
                <w:color w:val="auto"/>
                <w:sz w:val="24"/>
                <w:szCs w:val="24"/>
                <w:highlight w:val="none"/>
                <w:lang w:eastAsia="zh-CN"/>
              </w:rPr>
              <w:t>、收集装置及危废暂存管理制度提出相应的管理要求：</w:t>
            </w:r>
          </w:p>
          <w:p w14:paraId="13967E67">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1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①</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危险废物暂存地要设立危险废物标志；</w:t>
            </w:r>
          </w:p>
          <w:p w14:paraId="666B83C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2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②</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应关注“</w:t>
            </w:r>
            <w:r>
              <w:rPr>
                <w:rFonts w:hint="eastAsia" w:ascii="Times New Roman" w:hAnsi="Times New Roman" w:eastAsia="宋体" w:cs="Times New Roman"/>
                <w:color w:val="auto"/>
                <w:sz w:val="24"/>
                <w:szCs w:val="24"/>
                <w:highlight w:val="none"/>
                <w:lang w:val="en-US" w:eastAsia="zh-CN"/>
              </w:rPr>
              <w:t>六</w:t>
            </w:r>
            <w:r>
              <w:rPr>
                <w:rFonts w:ascii="Times New Roman" w:hAnsi="Times New Roman" w:eastAsia="宋体" w:cs="Times New Roman"/>
                <w:color w:val="auto"/>
                <w:sz w:val="24"/>
                <w:szCs w:val="24"/>
                <w:highlight w:val="none"/>
                <w:lang w:eastAsia="zh-CN"/>
              </w:rPr>
              <w:t>防”（防风、防晒、防雨、防漏、防渗、防腐），对不同类型的危险废物分类、分区贮存；贮存设施应封闭；</w:t>
            </w:r>
          </w:p>
          <w:p w14:paraId="111FF7D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3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③</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危险废物临时贮存、处置场设有图形标志。</w:t>
            </w:r>
          </w:p>
          <w:p w14:paraId="63D34C7D">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制定危废暂存库管理制度、严格执行危险废物管理档案和进出库台帐，交由有资质的单位处置。</w:t>
            </w:r>
          </w:p>
          <w:p w14:paraId="6C311D1D">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A、盛装在容器内的同类危险废物可以堆叠存放；</w:t>
            </w:r>
          </w:p>
          <w:p w14:paraId="0FBCA48F">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B、每个堆间应留有搬运通道；</w:t>
            </w:r>
          </w:p>
          <w:p w14:paraId="4C4205E8">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C、不得将不相容的废物混合或合并存放；</w:t>
            </w:r>
          </w:p>
          <w:p w14:paraId="2D8E6FF3">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D、建设单位须做好危险废物情况的记录，记录上须注明危险废物的名称、来源、数量、特性和包装容器的类别、入库日期、存放库位、废物出库日期及接收单位名称。危险废物的记录和货单在危险废物回取后应继续保留3a。</w:t>
            </w:r>
          </w:p>
          <w:p w14:paraId="4A4826DB">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E、必须定期对所贮存的危险废物包装容器及贮存设施进行检查，发现破损，应及时采取措施清理更换。</w:t>
            </w:r>
          </w:p>
          <w:p w14:paraId="586B8A96">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5）危险废物转运</w:t>
            </w:r>
          </w:p>
          <w:p w14:paraId="15C57079">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1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①</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危险废物应及时转运；</w:t>
            </w:r>
          </w:p>
          <w:p w14:paraId="6C6739FB">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2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②</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转运车辆应封闭，且标有特殊标志；</w:t>
            </w:r>
          </w:p>
          <w:p w14:paraId="6815F5B7">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fldChar w:fldCharType="begin"/>
            </w:r>
            <w:r>
              <w:rPr>
                <w:rFonts w:ascii="Times New Roman" w:hAnsi="Times New Roman" w:eastAsia="宋体" w:cs="Times New Roman"/>
                <w:color w:val="auto"/>
                <w:sz w:val="24"/>
                <w:szCs w:val="24"/>
                <w:highlight w:val="none"/>
                <w:lang w:eastAsia="zh-CN"/>
              </w:rPr>
              <w:instrText xml:space="preserve"> = 3 \* GB3 \* MERGEFORMAT </w:instrText>
            </w:r>
            <w:r>
              <w:rPr>
                <w:rFonts w:ascii="Times New Roman" w:hAnsi="Times New Roman" w:eastAsia="宋体" w:cs="Times New Roman"/>
                <w:color w:val="auto"/>
                <w:sz w:val="24"/>
                <w:szCs w:val="24"/>
                <w:highlight w:val="none"/>
                <w:lang w:eastAsia="zh-CN"/>
              </w:rPr>
              <w:fldChar w:fldCharType="separate"/>
            </w:r>
            <w:r>
              <w:rPr>
                <w:rFonts w:ascii="Times New Roman" w:hAnsi="Times New Roman" w:eastAsia="宋体" w:cs="Times New Roman"/>
                <w:color w:val="auto"/>
                <w:sz w:val="24"/>
                <w:szCs w:val="24"/>
                <w:highlight w:val="none"/>
                <w:lang w:eastAsia="zh-CN"/>
              </w:rPr>
              <w:t>③</w:t>
            </w:r>
            <w:r>
              <w:rPr>
                <w:rFonts w:ascii="Times New Roman" w:hAnsi="Times New Roman" w:eastAsia="宋体" w:cs="Times New Roman"/>
                <w:color w:val="auto"/>
                <w:sz w:val="24"/>
                <w:szCs w:val="24"/>
                <w:highlight w:val="none"/>
                <w:lang w:eastAsia="zh-CN"/>
              </w:rPr>
              <w:fldChar w:fldCharType="end"/>
            </w:r>
            <w:r>
              <w:rPr>
                <w:rFonts w:ascii="Times New Roman" w:hAnsi="Times New Roman" w:eastAsia="宋体" w:cs="Times New Roman"/>
                <w:color w:val="auto"/>
                <w:sz w:val="24"/>
                <w:szCs w:val="24"/>
                <w:highlight w:val="none"/>
                <w:lang w:eastAsia="zh-CN"/>
              </w:rPr>
              <w:t>转移危险废物时，必须按照规定填写危险废物转移联单，应按《危险废物转移联单管理办法》，做好废物的五联单登记交接工作，按当地环保部门规定的转移路线进行转移。</w:t>
            </w:r>
          </w:p>
          <w:p w14:paraId="49DC6772">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lang w:eastAsia="zh-CN"/>
              </w:rPr>
              <w:t>危险废物均应考虑收集措施（分类收集、及时清运等），处置方式以外委处理为主，在建立健全危险废物管理制度、并严格执行的条件下，不会对外界环境造成二次污染。项目产生的各类危险废物均交由有资质的单位回收处置，在实际产生前应与有资质的单位签订回收处置协议。</w:t>
            </w:r>
          </w:p>
          <w:p w14:paraId="78D9928A">
            <w:pPr>
              <w:spacing w:line="360" w:lineRule="auto"/>
              <w:ind w:firstLine="480" w:firstLineChars="200"/>
              <w:jc w:val="both"/>
              <w:rPr>
                <w:rFonts w:hint="eastAsia" w:ascii="Times New Roman" w:hAnsi="Times New Roman" w:eastAsia="宋体" w:cs="Times New Roman"/>
                <w:color w:val="auto"/>
                <w:sz w:val="24"/>
                <w:lang w:eastAsia="zh-CN"/>
              </w:rPr>
            </w:pPr>
            <w:r>
              <w:rPr>
                <w:rFonts w:ascii="Times New Roman" w:hAnsi="Times New Roman" w:eastAsia="宋体" w:cs="Times New Roman"/>
                <w:color w:val="auto"/>
                <w:sz w:val="24"/>
                <w:szCs w:val="24"/>
                <w:highlight w:val="none"/>
                <w:lang w:eastAsia="zh-CN"/>
              </w:rPr>
              <w:t>综上所述，采取以上措施后，本项目固体废物不会对环境造成影响</w:t>
            </w:r>
            <w:r>
              <w:rPr>
                <w:rFonts w:hint="eastAsia" w:ascii="Times New Roman" w:hAnsi="Times New Roman" w:eastAsia="宋体" w:cs="Times New Roman"/>
                <w:color w:val="auto"/>
                <w:sz w:val="24"/>
                <w:szCs w:val="24"/>
                <w:highlight w:val="none"/>
                <w:lang w:eastAsia="zh-CN"/>
              </w:rPr>
              <w:t>。</w:t>
            </w:r>
          </w:p>
          <w:p w14:paraId="79AD7C9A">
            <w:pPr>
              <w:spacing w:line="360" w:lineRule="auto"/>
              <w:ind w:firstLine="482" w:firstLineChars="200"/>
              <w:jc w:val="both"/>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lang w:val="en-US" w:eastAsia="zh-CN"/>
              </w:rPr>
              <w:t xml:space="preserve"> </w:t>
            </w:r>
            <w:r>
              <w:rPr>
                <w:rFonts w:hint="eastAsia" w:ascii="Times New Roman" w:hAnsi="Times New Roman" w:eastAsia="宋体" w:cs="Times New Roman"/>
                <w:b/>
                <w:bCs/>
                <w:color w:val="auto"/>
                <w:sz w:val="24"/>
                <w:highlight w:val="none"/>
                <w:lang w:val="en-US" w:eastAsia="zh-CN"/>
              </w:rPr>
              <w:t>其他保护措施</w:t>
            </w:r>
          </w:p>
          <w:p w14:paraId="089DD344">
            <w:pPr>
              <w:spacing w:line="360" w:lineRule="auto"/>
              <w:ind w:firstLine="480" w:firstLineChars="200"/>
              <w:jc w:val="both"/>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厂区采取的分区防渗措施如下：</w:t>
            </w:r>
          </w:p>
          <w:p w14:paraId="2A0F7B28">
            <w:pPr>
              <w:adjustRightInd w:val="0"/>
              <w:jc w:val="center"/>
              <w:rPr>
                <w:rFonts w:hint="eastAsia" w:ascii="Times New Roman" w:hAnsi="Times New Roman" w:eastAsia="宋体" w:cs="Times New Roman"/>
                <w:b/>
                <w:color w:val="000000" w:themeColor="text1"/>
                <w:sz w:val="21"/>
                <w:szCs w:val="21"/>
                <w:lang w:eastAsia="zh-CN"/>
              </w:rPr>
            </w:pPr>
            <w:r>
              <w:rPr>
                <w:rFonts w:hint="eastAsia" w:ascii="Times New Roman" w:hAnsi="Times New Roman" w:eastAsia="宋体" w:cs="Times New Roman"/>
                <w:b/>
                <w:color w:val="000000" w:themeColor="text1"/>
                <w:sz w:val="21"/>
                <w:szCs w:val="21"/>
                <w:lang w:eastAsia="zh-CN"/>
              </w:rPr>
              <w:t>表4</w:t>
            </w:r>
            <w:r>
              <w:rPr>
                <w:rFonts w:hint="eastAsia" w:ascii="Times New Roman" w:hAnsi="Times New Roman" w:eastAsia="宋体" w:cs="Times New Roman"/>
                <w:b/>
                <w:color w:val="000000" w:themeColor="text1"/>
                <w:sz w:val="21"/>
                <w:szCs w:val="21"/>
                <w:lang w:val="en-US" w:eastAsia="zh-CN"/>
              </w:rPr>
              <w:t>.8</w:t>
            </w:r>
            <w:r>
              <w:rPr>
                <w:rFonts w:hint="eastAsia" w:ascii="Times New Roman" w:hAnsi="Times New Roman" w:eastAsia="宋体" w:cs="Times New Roman"/>
                <w:b/>
                <w:color w:val="000000" w:themeColor="text1"/>
                <w:sz w:val="21"/>
                <w:szCs w:val="21"/>
                <w:lang w:eastAsia="zh-CN"/>
              </w:rPr>
              <w:t>-</w:t>
            </w:r>
            <w:r>
              <w:rPr>
                <w:rFonts w:hint="eastAsia" w:ascii="Times New Roman" w:hAnsi="Times New Roman" w:eastAsia="宋体" w:cs="Times New Roman"/>
                <w:b/>
                <w:color w:val="000000" w:themeColor="text1"/>
                <w:sz w:val="21"/>
                <w:szCs w:val="21"/>
                <w:lang w:val="en-US" w:eastAsia="zh-CN"/>
              </w:rPr>
              <w:t>1</w:t>
            </w:r>
            <w:r>
              <w:rPr>
                <w:rFonts w:hint="eastAsia" w:ascii="Times New Roman" w:hAnsi="Times New Roman" w:eastAsia="宋体" w:cs="Times New Roman"/>
                <w:b/>
                <w:color w:val="000000" w:themeColor="text1"/>
                <w:sz w:val="21"/>
                <w:szCs w:val="21"/>
                <w:lang w:eastAsia="zh-CN"/>
              </w:rPr>
              <w:t xml:space="preserve">   </w:t>
            </w:r>
            <w:r>
              <w:rPr>
                <w:rFonts w:hint="eastAsia" w:ascii="Times New Roman" w:hAnsi="Times New Roman" w:eastAsia="宋体" w:cs="Times New Roman"/>
                <w:b/>
                <w:color w:val="000000" w:themeColor="text1"/>
                <w:sz w:val="21"/>
                <w:szCs w:val="21"/>
                <w:lang w:val="en-US" w:eastAsia="zh-CN"/>
              </w:rPr>
              <w:t xml:space="preserve">防渗分区及防渗要求表 </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2226"/>
              <w:gridCol w:w="2335"/>
              <w:gridCol w:w="2131"/>
            </w:tblGrid>
            <w:tr w14:paraId="35388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1" w:type="dxa"/>
                  <w:tcBorders>
                    <w:tl2br w:val="nil"/>
                    <w:tr2bl w:val="nil"/>
                  </w:tcBorders>
                  <w:noWrap/>
                  <w:vAlign w:val="center"/>
                </w:tcPr>
                <w:p w14:paraId="235892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防渗分区</w:t>
                  </w:r>
                </w:p>
              </w:tc>
              <w:tc>
                <w:tcPr>
                  <w:tcW w:w="2225" w:type="dxa"/>
                  <w:tcBorders>
                    <w:tl2br w:val="nil"/>
                    <w:tr2bl w:val="nil"/>
                  </w:tcBorders>
                  <w:noWrap/>
                  <w:vAlign w:val="center"/>
                </w:tcPr>
                <w:p w14:paraId="6065E5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 xml:space="preserve">防渗区域 </w:t>
                  </w:r>
                </w:p>
              </w:tc>
              <w:tc>
                <w:tcPr>
                  <w:tcW w:w="2334" w:type="dxa"/>
                  <w:tcBorders>
                    <w:tl2br w:val="nil"/>
                    <w:tr2bl w:val="nil"/>
                  </w:tcBorders>
                  <w:noWrap/>
                  <w:vAlign w:val="center"/>
                </w:tcPr>
                <w:p w14:paraId="6AB02C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防渗技术要求</w:t>
                  </w:r>
                </w:p>
              </w:tc>
              <w:tc>
                <w:tcPr>
                  <w:tcW w:w="2130" w:type="dxa"/>
                  <w:tcBorders>
                    <w:tl2br w:val="nil"/>
                    <w:tr2bl w:val="nil"/>
                  </w:tcBorders>
                  <w:noWrap/>
                  <w:vAlign w:val="center"/>
                </w:tcPr>
                <w:p w14:paraId="6C606B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防渗方案</w:t>
                  </w:r>
                </w:p>
              </w:tc>
            </w:tr>
            <w:tr w14:paraId="7AED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1" w:type="dxa"/>
                  <w:tcBorders>
                    <w:tl2br w:val="nil"/>
                    <w:tr2bl w:val="nil"/>
                  </w:tcBorders>
                  <w:noWrap/>
                  <w:vAlign w:val="center"/>
                </w:tcPr>
                <w:p w14:paraId="2FC671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重点</w:t>
                  </w:r>
                  <w:r>
                    <w:rPr>
                      <w:rFonts w:hint="default" w:ascii="Times New Roman" w:hAnsi="Times New Roman" w:eastAsia="宋体" w:cs="Times New Roman"/>
                      <w:color w:val="auto"/>
                      <w:sz w:val="21"/>
                      <w:szCs w:val="21"/>
                      <w:highlight w:val="none"/>
                    </w:rPr>
                    <w:t>防渗区</w:t>
                  </w:r>
                </w:p>
              </w:tc>
              <w:tc>
                <w:tcPr>
                  <w:tcW w:w="2225" w:type="dxa"/>
                  <w:tcBorders>
                    <w:tl2br w:val="nil"/>
                    <w:tr2bl w:val="nil"/>
                  </w:tcBorders>
                  <w:noWrap/>
                  <w:vAlign w:val="center"/>
                </w:tcPr>
                <w:p w14:paraId="7D2BD8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危险废物临时贮存库</w:t>
                  </w:r>
                </w:p>
              </w:tc>
              <w:tc>
                <w:tcPr>
                  <w:tcW w:w="2334" w:type="dxa"/>
                  <w:tcBorders>
                    <w:tl2br w:val="nil"/>
                    <w:tr2bl w:val="nil"/>
                  </w:tcBorders>
                  <w:noWrap/>
                  <w:vAlign w:val="center"/>
                </w:tcPr>
                <w:p w14:paraId="305BD130">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按《危险废物贮存污染控制标准》（G18597</w:t>
                  </w:r>
                  <w:r>
                    <w:rPr>
                      <w:rFonts w:hint="eastAsia" w:ascii="Times New Roman" w:hAnsi="Times New Roman" w:eastAsia="宋体" w:cs="Times New Roman"/>
                      <w:color w:val="auto"/>
                      <w:sz w:val="21"/>
                      <w:szCs w:val="21"/>
                      <w:highlight w:val="none"/>
                      <w:lang w:val="en-US" w:eastAsia="zh-CN"/>
                    </w:rPr>
                    <w:t>-2023</w:t>
                  </w:r>
                  <w:r>
                    <w:rPr>
                      <w:rFonts w:hint="default" w:ascii="Times New Roman" w:hAnsi="Times New Roman" w:eastAsia="宋体" w:cs="Times New Roman"/>
                      <w:color w:val="auto"/>
                      <w:sz w:val="21"/>
                      <w:szCs w:val="21"/>
                      <w:highlight w:val="none"/>
                      <w:lang w:val="en-US" w:eastAsia="zh-CN"/>
                    </w:rPr>
                    <w:t>）执行</w:t>
                  </w:r>
                </w:p>
              </w:tc>
              <w:tc>
                <w:tcPr>
                  <w:tcW w:w="2130" w:type="dxa"/>
                  <w:tcBorders>
                    <w:tl2br w:val="nil"/>
                    <w:tr2bl w:val="nil"/>
                  </w:tcBorders>
                  <w:noWrap/>
                  <w:vAlign w:val="center"/>
                </w:tcPr>
                <w:p w14:paraId="41D15E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防渗层为至少1m厚的粘土层（渗透系数≤1×10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cm/s）或2mm厚的高密度聚乙烯，或至少2mm厚的其它人工材料，渗透系数≤1×10</w:t>
                  </w:r>
                  <w:r>
                    <w:rPr>
                      <w:rFonts w:hint="default" w:ascii="Times New Roman" w:hAnsi="Times New Roman" w:eastAsia="宋体" w:cs="Times New Roman"/>
                      <w:color w:val="auto"/>
                      <w:sz w:val="21"/>
                      <w:szCs w:val="21"/>
                      <w:highlight w:val="none"/>
                      <w:vertAlign w:val="superscript"/>
                      <w:lang w:eastAsia="zh-CN"/>
                    </w:rPr>
                    <w:t>-10</w:t>
                  </w:r>
                  <w:r>
                    <w:rPr>
                      <w:rFonts w:hint="default" w:ascii="Times New Roman" w:hAnsi="Times New Roman" w:eastAsia="宋体" w:cs="Times New Roman"/>
                      <w:color w:val="auto"/>
                      <w:sz w:val="21"/>
                      <w:szCs w:val="21"/>
                      <w:highlight w:val="none"/>
                      <w:lang w:eastAsia="zh-CN"/>
                    </w:rPr>
                    <w:t>cm/s，地面加覆0.5mm厚环氧树脂膜</w:t>
                  </w:r>
                </w:p>
              </w:tc>
            </w:tr>
            <w:tr w14:paraId="5BC2B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1" w:type="dxa"/>
                  <w:tcBorders>
                    <w:tl2br w:val="nil"/>
                    <w:tr2bl w:val="nil"/>
                  </w:tcBorders>
                  <w:noWrap/>
                  <w:vAlign w:val="center"/>
                </w:tcPr>
                <w:p w14:paraId="226F64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简单防渗区</w:t>
                  </w:r>
                </w:p>
              </w:tc>
              <w:tc>
                <w:tcPr>
                  <w:tcW w:w="2225" w:type="dxa"/>
                  <w:tcBorders>
                    <w:tl2br w:val="nil"/>
                    <w:tr2bl w:val="nil"/>
                  </w:tcBorders>
                  <w:noWrap/>
                  <w:vAlign w:val="center"/>
                </w:tcPr>
                <w:p w14:paraId="36CCF1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生产车间</w:t>
                  </w:r>
                  <w:r>
                    <w:rPr>
                      <w:rFonts w:hint="default" w:ascii="Times New Roman" w:hAnsi="Times New Roman" w:eastAsia="宋体" w:cs="Times New Roman"/>
                      <w:color w:val="auto"/>
                      <w:sz w:val="21"/>
                      <w:szCs w:val="21"/>
                      <w:highlight w:val="none"/>
                      <w:lang w:eastAsia="zh-CN"/>
                    </w:rPr>
                    <w:t>及其他地面</w:t>
                  </w:r>
                </w:p>
              </w:tc>
              <w:tc>
                <w:tcPr>
                  <w:tcW w:w="2334" w:type="dxa"/>
                  <w:tcBorders>
                    <w:tl2br w:val="nil"/>
                    <w:tr2bl w:val="nil"/>
                  </w:tcBorders>
                  <w:noWrap/>
                  <w:vAlign w:val="center"/>
                </w:tcPr>
                <w:p w14:paraId="0C9168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一般地面硬化</w:t>
                  </w:r>
                </w:p>
              </w:tc>
              <w:tc>
                <w:tcPr>
                  <w:tcW w:w="2130" w:type="dxa"/>
                  <w:tcBorders>
                    <w:tl2br w:val="nil"/>
                    <w:tr2bl w:val="nil"/>
                  </w:tcBorders>
                  <w:noWrap/>
                  <w:vAlign w:val="center"/>
                </w:tcPr>
                <w:p w14:paraId="7CA7EA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一般混凝土硬化</w:t>
                  </w:r>
                </w:p>
              </w:tc>
            </w:tr>
          </w:tbl>
          <w:p w14:paraId="01EC2D7F">
            <w:pPr>
              <w:spacing w:line="360" w:lineRule="auto"/>
              <w:ind w:firstLine="482" w:firstLineChars="200"/>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lang w:val="en-US" w:eastAsia="zh-CN"/>
              </w:rPr>
              <w:t xml:space="preserve"> </w:t>
            </w:r>
            <w:r>
              <w:rPr>
                <w:rFonts w:hint="eastAsia" w:ascii="Times New Roman" w:hAnsi="Times New Roman" w:eastAsia="宋体" w:cs="Times New Roman"/>
                <w:b/>
                <w:bCs/>
                <w:color w:val="auto"/>
                <w:sz w:val="24"/>
                <w:szCs w:val="24"/>
                <w:lang w:val="en-US" w:eastAsia="zh-CN"/>
              </w:rPr>
              <w:t>.环境风险</w:t>
            </w:r>
          </w:p>
          <w:p w14:paraId="0B5BD51D">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lang w:val="en-US" w:eastAsia="zh-CN"/>
              </w:rPr>
              <w:t>1</w:t>
            </w:r>
            <w:r>
              <w:rPr>
                <w:rFonts w:hint="eastAsia" w:ascii="Times New Roman" w:hAnsi="Times New Roman" w:eastAsia="宋体" w:cs="Times New Roman"/>
                <w:bCs/>
                <w:color w:val="auto"/>
                <w:sz w:val="24"/>
                <w:lang w:eastAsia="zh-CN"/>
              </w:rPr>
              <w:t>）</w:t>
            </w:r>
            <w:r>
              <w:rPr>
                <w:rFonts w:ascii="Times New Roman" w:hAnsi="Times New Roman" w:eastAsia="宋体" w:cs="Times New Roman"/>
                <w:bCs/>
                <w:color w:val="auto"/>
                <w:sz w:val="24"/>
                <w:szCs w:val="24"/>
                <w:lang w:eastAsia="zh-CN"/>
              </w:rPr>
              <w:t>环境风险识别</w:t>
            </w:r>
          </w:p>
          <w:p w14:paraId="0623D4DD">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1）</w:t>
            </w:r>
            <w:r>
              <w:rPr>
                <w:rFonts w:ascii="Times New Roman" w:hAnsi="Times New Roman" w:eastAsia="宋体" w:cs="Times New Roman"/>
                <w:bCs/>
                <w:color w:val="auto"/>
                <w:sz w:val="24"/>
                <w:szCs w:val="24"/>
                <w:lang w:eastAsia="zh-CN"/>
              </w:rPr>
              <w:t>物质危险性识别</w:t>
            </w:r>
          </w:p>
          <w:p w14:paraId="6698AE36">
            <w:pPr>
              <w:spacing w:line="360" w:lineRule="auto"/>
              <w:ind w:firstLine="480" w:firstLineChars="200"/>
              <w:jc w:val="both"/>
              <w:rPr>
                <w:rFonts w:hint="default" w:ascii="Times New Roman" w:hAnsi="Times New Roman" w:eastAsia="宋体" w:cs="Times New Roman"/>
                <w:bCs/>
                <w:color w:val="auto"/>
                <w:sz w:val="24"/>
                <w:szCs w:val="24"/>
                <w:lang w:val="en-US" w:eastAsia="zh-CN"/>
              </w:rPr>
            </w:pPr>
            <w:r>
              <w:rPr>
                <w:rFonts w:ascii="Times New Roman" w:hAnsi="Times New Roman" w:eastAsia="宋体" w:cs="Times New Roman"/>
                <w:bCs/>
                <w:color w:val="auto"/>
                <w:sz w:val="24"/>
                <w:szCs w:val="24"/>
                <w:lang w:eastAsia="zh-CN"/>
              </w:rPr>
              <w:t>物质危险性识别范围包括主要原辅材料、燃料、中间产品、副产品、最终产品、污染物、火灾和爆炸伴生/次生物等。本次项目风险物质主要为</w:t>
            </w:r>
            <w:r>
              <w:rPr>
                <w:rFonts w:hint="eastAsia" w:ascii="Times New Roman" w:hAnsi="Times New Roman" w:eastAsia="宋体" w:cs="Times New Roman"/>
                <w:bCs/>
                <w:color w:val="auto"/>
                <w:sz w:val="24"/>
                <w:szCs w:val="24"/>
                <w:lang w:val="en-US" w:eastAsia="zh-CN"/>
              </w:rPr>
              <w:t>危险废物临时贮存库储存的废矿物油。</w:t>
            </w:r>
          </w:p>
          <w:p w14:paraId="1C93F2A5">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2）</w:t>
            </w:r>
            <w:r>
              <w:rPr>
                <w:rFonts w:ascii="Times New Roman" w:hAnsi="Times New Roman" w:eastAsia="宋体" w:cs="Times New Roman"/>
                <w:bCs/>
                <w:color w:val="auto"/>
                <w:sz w:val="24"/>
                <w:szCs w:val="24"/>
                <w:lang w:eastAsia="zh-CN"/>
              </w:rPr>
              <w:t>储存系统危险性识别</w:t>
            </w:r>
          </w:p>
          <w:p w14:paraId="6C2A6077">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根据导则适用范围不包括人为破坏及自然灾害引发的事故，因此本次评价在事故成因分析方面主要以人为因素作为切入点进行事故成因分析，人为因素是一种动态的、难以控制的因素，特别在放松安全管理、违章操作、日常维护不到位或违反安全管理章程等引发事故。通过调查风险源的危险性、存在条件和转化为事故的触发因素见下表。</w:t>
            </w:r>
          </w:p>
          <w:p w14:paraId="6A99C8C4">
            <w:pPr>
              <w:pStyle w:val="44"/>
              <w:rPr>
                <w:rFonts w:hint="default" w:ascii="Times New Roman" w:hAnsi="Times New Roman" w:cs="Times New Roman"/>
                <w:color w:val="auto"/>
                <w:kern w:val="2"/>
                <w:lang w:eastAsia="zh-CN"/>
              </w:rPr>
            </w:pPr>
            <w:r>
              <w:rPr>
                <w:rFonts w:hint="default" w:ascii="Times New Roman" w:hAnsi="Times New Roman" w:cs="Times New Roman"/>
                <w:color w:val="auto"/>
                <w:kern w:val="2"/>
                <w:lang w:eastAsia="zh-CN"/>
              </w:rPr>
              <w:t>表</w:t>
            </w:r>
            <w:r>
              <w:rPr>
                <w:rFonts w:hint="default" w:ascii="Times New Roman" w:hAnsi="Times New Roman" w:eastAsia="宋体" w:cs="Times New Roman"/>
                <w:color w:val="auto"/>
                <w:kern w:val="2"/>
                <w:lang w:val="en-US" w:eastAsia="zh-CN"/>
              </w:rPr>
              <w:t>4</w:t>
            </w:r>
            <w:r>
              <w:rPr>
                <w:rFonts w:hint="eastAsia" w:ascii="Times New Roman" w:hAnsi="Times New Roman" w:eastAsia="宋体" w:cs="Times New Roman"/>
                <w:color w:val="auto"/>
                <w:kern w:val="2"/>
                <w:lang w:val="en-US" w:eastAsia="zh-CN"/>
              </w:rPr>
              <w:t>.9-1</w:t>
            </w:r>
            <w:r>
              <w:rPr>
                <w:rFonts w:hint="default" w:ascii="Times New Roman" w:hAnsi="Times New Roman" w:eastAsia="宋体" w:cs="Times New Roman"/>
                <w:color w:val="auto"/>
                <w:kern w:val="2"/>
                <w:lang w:eastAsia="zh-CN"/>
              </w:rPr>
              <w:t xml:space="preserve"> </w:t>
            </w:r>
            <w:r>
              <w:rPr>
                <w:rFonts w:hint="default" w:ascii="Times New Roman" w:hAnsi="Times New Roman" w:cs="Times New Roman"/>
                <w:color w:val="auto"/>
                <w:kern w:val="2"/>
                <w:lang w:eastAsia="zh-CN"/>
              </w:rPr>
              <w:t>主要潜在事故及原因一览表</w:t>
            </w:r>
          </w:p>
          <w:tbl>
            <w:tblPr>
              <w:tblStyle w:val="33"/>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3"/>
              <w:gridCol w:w="1225"/>
              <w:gridCol w:w="5335"/>
            </w:tblGrid>
            <w:tr w14:paraId="6EC7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630" w:type="dxa"/>
                  <w:tcBorders>
                    <w:tl2br w:val="nil"/>
                    <w:tr2bl w:val="nil"/>
                  </w:tcBorders>
                  <w:vAlign w:val="center"/>
                </w:tcPr>
                <w:p w14:paraId="01D4316C">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事故发生环节</w:t>
                  </w:r>
                </w:p>
              </w:tc>
              <w:tc>
                <w:tcPr>
                  <w:tcW w:w="1253" w:type="dxa"/>
                  <w:tcBorders>
                    <w:tl2br w:val="nil"/>
                    <w:tr2bl w:val="nil"/>
                  </w:tcBorders>
                  <w:vAlign w:val="center"/>
                </w:tcPr>
                <w:p w14:paraId="0E91FD7E">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类型</w:t>
                  </w:r>
                </w:p>
              </w:tc>
              <w:tc>
                <w:tcPr>
                  <w:tcW w:w="5473" w:type="dxa"/>
                  <w:tcBorders>
                    <w:tl2br w:val="nil"/>
                    <w:tr2bl w:val="nil"/>
                  </w:tcBorders>
                  <w:vAlign w:val="center"/>
                </w:tcPr>
                <w:p w14:paraId="69EE9C85">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原因</w:t>
                  </w:r>
                </w:p>
              </w:tc>
            </w:tr>
            <w:tr w14:paraId="62F5D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0" w:type="dxa"/>
                  <w:vMerge w:val="restart"/>
                  <w:tcBorders>
                    <w:tl2br w:val="nil"/>
                    <w:tr2bl w:val="nil"/>
                  </w:tcBorders>
                  <w:vAlign w:val="center"/>
                </w:tcPr>
                <w:p w14:paraId="4876EA28">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生产</w:t>
                  </w:r>
                </w:p>
              </w:tc>
              <w:tc>
                <w:tcPr>
                  <w:tcW w:w="1253" w:type="dxa"/>
                  <w:tcBorders>
                    <w:tl2br w:val="nil"/>
                    <w:tr2bl w:val="nil"/>
                  </w:tcBorders>
                  <w:vAlign w:val="center"/>
                </w:tcPr>
                <w:p w14:paraId="6A969161">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泄漏</w:t>
                  </w:r>
                </w:p>
              </w:tc>
              <w:tc>
                <w:tcPr>
                  <w:tcW w:w="5473" w:type="dxa"/>
                  <w:tcBorders>
                    <w:tl2br w:val="nil"/>
                    <w:tr2bl w:val="nil"/>
                  </w:tcBorders>
                  <w:vAlign w:val="center"/>
                </w:tcPr>
                <w:p w14:paraId="2FE35B2A">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阀门、控制失灵</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lang w:eastAsia="zh-CN"/>
                    </w:rPr>
                    <w:t>操作失误等</w:t>
                  </w:r>
                </w:p>
              </w:tc>
            </w:tr>
            <w:tr w14:paraId="7405A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0" w:type="dxa"/>
                  <w:vMerge w:val="continue"/>
                  <w:tcBorders>
                    <w:tl2br w:val="nil"/>
                    <w:tr2bl w:val="nil"/>
                  </w:tcBorders>
                  <w:vAlign w:val="center"/>
                </w:tcPr>
                <w:p w14:paraId="23AE1089">
                  <w:pPr>
                    <w:spacing w:line="240" w:lineRule="exact"/>
                    <w:jc w:val="center"/>
                    <w:rPr>
                      <w:rFonts w:ascii="Times New Roman" w:hAnsi="Times New Roman" w:eastAsia="宋体" w:cs="Times New Roman"/>
                      <w:color w:val="auto"/>
                      <w:sz w:val="21"/>
                      <w:szCs w:val="21"/>
                      <w:lang w:eastAsia="zh-CN"/>
                    </w:rPr>
                  </w:pPr>
                </w:p>
              </w:tc>
              <w:tc>
                <w:tcPr>
                  <w:tcW w:w="1253" w:type="dxa"/>
                  <w:tcBorders>
                    <w:tl2br w:val="nil"/>
                    <w:tr2bl w:val="nil"/>
                  </w:tcBorders>
                  <w:vAlign w:val="center"/>
                </w:tcPr>
                <w:p w14:paraId="2C4EE79B">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火灾</w:t>
                  </w:r>
                </w:p>
              </w:tc>
              <w:tc>
                <w:tcPr>
                  <w:tcW w:w="5473" w:type="dxa"/>
                  <w:tcBorders>
                    <w:tl2br w:val="nil"/>
                    <w:tr2bl w:val="nil"/>
                  </w:tcBorders>
                  <w:vAlign w:val="center"/>
                </w:tcPr>
                <w:p w14:paraId="50072F38">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安全生产管理不完善，操作失误等</w:t>
                  </w:r>
                </w:p>
              </w:tc>
            </w:tr>
            <w:tr w14:paraId="56B1D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0" w:type="dxa"/>
                  <w:vMerge w:val="continue"/>
                  <w:tcBorders>
                    <w:tl2br w:val="nil"/>
                    <w:tr2bl w:val="nil"/>
                  </w:tcBorders>
                  <w:vAlign w:val="center"/>
                </w:tcPr>
                <w:p w14:paraId="12CA784B">
                  <w:pPr>
                    <w:spacing w:line="240" w:lineRule="exact"/>
                    <w:jc w:val="center"/>
                    <w:rPr>
                      <w:rFonts w:ascii="Times New Roman" w:hAnsi="Times New Roman" w:eastAsia="宋体" w:cs="Times New Roman"/>
                      <w:color w:val="auto"/>
                      <w:sz w:val="21"/>
                      <w:szCs w:val="21"/>
                      <w:lang w:eastAsia="zh-CN"/>
                    </w:rPr>
                  </w:pPr>
                </w:p>
              </w:tc>
              <w:tc>
                <w:tcPr>
                  <w:tcW w:w="1253" w:type="dxa"/>
                  <w:tcBorders>
                    <w:tl2br w:val="nil"/>
                    <w:tr2bl w:val="nil"/>
                  </w:tcBorders>
                  <w:vAlign w:val="center"/>
                </w:tcPr>
                <w:p w14:paraId="076EBB00">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爆炸</w:t>
                  </w:r>
                </w:p>
              </w:tc>
              <w:tc>
                <w:tcPr>
                  <w:tcW w:w="5473" w:type="dxa"/>
                  <w:tcBorders>
                    <w:tl2br w:val="nil"/>
                    <w:tr2bl w:val="nil"/>
                  </w:tcBorders>
                  <w:vAlign w:val="center"/>
                </w:tcPr>
                <w:p w14:paraId="4B6B38FA">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安全生产管理不完善，操作失误等</w:t>
                  </w:r>
                </w:p>
              </w:tc>
            </w:tr>
            <w:tr w14:paraId="19189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0" w:type="dxa"/>
                  <w:vMerge w:val="restart"/>
                  <w:tcBorders>
                    <w:tl2br w:val="nil"/>
                    <w:tr2bl w:val="nil"/>
                  </w:tcBorders>
                  <w:vAlign w:val="center"/>
                </w:tcPr>
                <w:p w14:paraId="251DC592">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贮存</w:t>
                  </w:r>
                </w:p>
              </w:tc>
              <w:tc>
                <w:tcPr>
                  <w:tcW w:w="1253" w:type="dxa"/>
                  <w:tcBorders>
                    <w:tl2br w:val="nil"/>
                    <w:tr2bl w:val="nil"/>
                  </w:tcBorders>
                  <w:vAlign w:val="center"/>
                </w:tcPr>
                <w:p w14:paraId="4D6B7EF1">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泄漏</w:t>
                  </w:r>
                </w:p>
              </w:tc>
              <w:tc>
                <w:tcPr>
                  <w:tcW w:w="5473" w:type="dxa"/>
                  <w:tcBorders>
                    <w:tl2br w:val="nil"/>
                    <w:tr2bl w:val="nil"/>
                  </w:tcBorders>
                  <w:vAlign w:val="center"/>
                </w:tcPr>
                <w:p w14:paraId="1780F87D">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阀门、控制失灵</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lang w:eastAsia="zh-CN"/>
                    </w:rPr>
                    <w:t>操作失误等</w:t>
                  </w:r>
                </w:p>
              </w:tc>
            </w:tr>
            <w:tr w14:paraId="2109B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0" w:type="dxa"/>
                  <w:vMerge w:val="continue"/>
                  <w:tcBorders>
                    <w:tl2br w:val="nil"/>
                    <w:tr2bl w:val="nil"/>
                  </w:tcBorders>
                  <w:vAlign w:val="center"/>
                </w:tcPr>
                <w:p w14:paraId="0CAA7547">
                  <w:pPr>
                    <w:spacing w:line="240" w:lineRule="exact"/>
                    <w:jc w:val="center"/>
                    <w:rPr>
                      <w:rFonts w:ascii="Times New Roman" w:hAnsi="Times New Roman" w:eastAsia="宋体" w:cs="Times New Roman"/>
                      <w:color w:val="auto"/>
                      <w:sz w:val="21"/>
                      <w:szCs w:val="21"/>
                      <w:lang w:eastAsia="zh-CN"/>
                    </w:rPr>
                  </w:pPr>
                </w:p>
              </w:tc>
              <w:tc>
                <w:tcPr>
                  <w:tcW w:w="1253" w:type="dxa"/>
                  <w:tcBorders>
                    <w:tl2br w:val="nil"/>
                    <w:tr2bl w:val="nil"/>
                  </w:tcBorders>
                  <w:vAlign w:val="center"/>
                </w:tcPr>
                <w:p w14:paraId="1B907B13">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火灾</w:t>
                  </w:r>
                </w:p>
              </w:tc>
              <w:tc>
                <w:tcPr>
                  <w:tcW w:w="5473" w:type="dxa"/>
                  <w:tcBorders>
                    <w:tl2br w:val="nil"/>
                    <w:tr2bl w:val="nil"/>
                  </w:tcBorders>
                  <w:vAlign w:val="center"/>
                </w:tcPr>
                <w:p w14:paraId="5D70BE90">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安全生产管理不完善，操作失误等</w:t>
                  </w:r>
                </w:p>
              </w:tc>
            </w:tr>
            <w:tr w14:paraId="57FBD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0" w:type="dxa"/>
                  <w:vMerge w:val="continue"/>
                  <w:tcBorders>
                    <w:tl2br w:val="nil"/>
                    <w:tr2bl w:val="nil"/>
                  </w:tcBorders>
                  <w:vAlign w:val="center"/>
                </w:tcPr>
                <w:p w14:paraId="26782379">
                  <w:pPr>
                    <w:spacing w:line="240" w:lineRule="exact"/>
                    <w:jc w:val="center"/>
                    <w:rPr>
                      <w:rFonts w:ascii="Times New Roman" w:hAnsi="Times New Roman" w:eastAsia="宋体" w:cs="Times New Roman"/>
                      <w:color w:val="auto"/>
                      <w:sz w:val="21"/>
                      <w:szCs w:val="21"/>
                      <w:lang w:eastAsia="zh-CN"/>
                    </w:rPr>
                  </w:pPr>
                </w:p>
              </w:tc>
              <w:tc>
                <w:tcPr>
                  <w:tcW w:w="1253" w:type="dxa"/>
                  <w:tcBorders>
                    <w:tl2br w:val="nil"/>
                    <w:tr2bl w:val="nil"/>
                  </w:tcBorders>
                  <w:vAlign w:val="center"/>
                </w:tcPr>
                <w:p w14:paraId="210A33CF">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爆炸</w:t>
                  </w:r>
                </w:p>
              </w:tc>
              <w:tc>
                <w:tcPr>
                  <w:tcW w:w="5473" w:type="dxa"/>
                  <w:tcBorders>
                    <w:tl2br w:val="nil"/>
                    <w:tr2bl w:val="nil"/>
                  </w:tcBorders>
                  <w:vAlign w:val="center"/>
                </w:tcPr>
                <w:p w14:paraId="172DD53C">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安全生产管理不完善，操作失误等</w:t>
                  </w:r>
                </w:p>
              </w:tc>
            </w:tr>
          </w:tbl>
          <w:p w14:paraId="5680EE81">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根据各危险单元风险源操作条件及主要危险物质储存情况，确定本项目重点风险源为危废库，风险源见下表。</w:t>
            </w:r>
          </w:p>
          <w:p w14:paraId="5E9BC8F7">
            <w:pPr>
              <w:pStyle w:val="44"/>
              <w:rPr>
                <w:rFonts w:hint="default" w:ascii="Times New Roman" w:hAnsi="Times New Roman" w:cs="Times New Roman"/>
                <w:color w:val="auto"/>
                <w:kern w:val="2"/>
                <w:lang w:eastAsia="zh-CN"/>
              </w:rPr>
            </w:pPr>
            <w:r>
              <w:rPr>
                <w:rFonts w:hint="default" w:ascii="Times New Roman" w:hAnsi="Times New Roman" w:cs="Times New Roman"/>
                <w:color w:val="auto"/>
                <w:kern w:val="2"/>
                <w:lang w:eastAsia="zh-CN"/>
              </w:rPr>
              <w:t>表</w:t>
            </w:r>
            <w:r>
              <w:rPr>
                <w:rFonts w:hint="default" w:ascii="Times New Roman" w:hAnsi="Times New Roman" w:eastAsia="宋体" w:cs="Times New Roman"/>
                <w:color w:val="auto"/>
                <w:kern w:val="2"/>
                <w:lang w:val="en-US" w:eastAsia="zh-CN"/>
              </w:rPr>
              <w:t>4</w:t>
            </w:r>
            <w:r>
              <w:rPr>
                <w:rFonts w:hint="eastAsia" w:ascii="Times New Roman" w:hAnsi="Times New Roman" w:eastAsia="宋体" w:cs="Times New Roman"/>
                <w:color w:val="auto"/>
                <w:kern w:val="2"/>
                <w:lang w:val="en-US" w:eastAsia="zh-CN"/>
              </w:rPr>
              <w:t>.9-2</w:t>
            </w:r>
            <w:r>
              <w:rPr>
                <w:rFonts w:hint="default" w:ascii="Times New Roman" w:hAnsi="Times New Roman" w:cs="Times New Roman"/>
                <w:color w:val="auto"/>
                <w:kern w:val="2"/>
                <w:lang w:eastAsia="zh-CN"/>
              </w:rPr>
              <w:t>本项目重点风险源情况一览表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419"/>
              <w:gridCol w:w="793"/>
              <w:gridCol w:w="925"/>
              <w:gridCol w:w="1160"/>
              <w:gridCol w:w="896"/>
              <w:gridCol w:w="994"/>
              <w:gridCol w:w="989"/>
              <w:gridCol w:w="989"/>
              <w:gridCol w:w="986"/>
            </w:tblGrid>
            <w:tr w14:paraId="501E6A0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jc w:val="center"/>
              </w:trPr>
              <w:tc>
                <w:tcPr>
                  <w:tcW w:w="257" w:type="pct"/>
                  <w:tcBorders>
                    <w:tl2br w:val="nil"/>
                    <w:tr2bl w:val="nil"/>
                  </w:tcBorders>
                  <w:vAlign w:val="center"/>
                </w:tcPr>
                <w:p w14:paraId="497BA6D5">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486" w:type="pct"/>
                  <w:tcBorders>
                    <w:tl2br w:val="nil"/>
                    <w:tr2bl w:val="nil"/>
                  </w:tcBorders>
                  <w:vAlign w:val="center"/>
                </w:tcPr>
                <w:p w14:paraId="4C1E0F0D">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危险单元</w:t>
                  </w:r>
                </w:p>
              </w:tc>
              <w:tc>
                <w:tcPr>
                  <w:tcW w:w="567" w:type="pct"/>
                  <w:tcBorders>
                    <w:tl2br w:val="nil"/>
                    <w:tr2bl w:val="nil"/>
                  </w:tcBorders>
                  <w:vAlign w:val="center"/>
                </w:tcPr>
                <w:p w14:paraId="2DFFFFA6">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风险源</w:t>
                  </w:r>
                </w:p>
              </w:tc>
              <w:tc>
                <w:tcPr>
                  <w:tcW w:w="711" w:type="pct"/>
                  <w:tcBorders>
                    <w:tl2br w:val="nil"/>
                    <w:tr2bl w:val="nil"/>
                  </w:tcBorders>
                  <w:vAlign w:val="center"/>
                </w:tcPr>
                <w:p w14:paraId="2014886B">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主要危险物质</w:t>
                  </w:r>
                </w:p>
              </w:tc>
              <w:tc>
                <w:tcPr>
                  <w:tcW w:w="549" w:type="pct"/>
                  <w:tcBorders>
                    <w:tl2br w:val="nil"/>
                    <w:tr2bl w:val="nil"/>
                  </w:tcBorders>
                  <w:vAlign w:val="center"/>
                </w:tcPr>
                <w:p w14:paraId="617F19EB">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危险物质最大存在量(t)</w:t>
                  </w:r>
                </w:p>
              </w:tc>
              <w:tc>
                <w:tcPr>
                  <w:tcW w:w="609" w:type="pct"/>
                  <w:tcBorders>
                    <w:tl2br w:val="nil"/>
                    <w:tr2bl w:val="nil"/>
                  </w:tcBorders>
                  <w:vAlign w:val="center"/>
                </w:tcPr>
                <w:p w14:paraId="1A9C3415">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环境风险类型</w:t>
                  </w:r>
                </w:p>
              </w:tc>
              <w:tc>
                <w:tcPr>
                  <w:tcW w:w="606" w:type="pct"/>
                  <w:tcBorders>
                    <w:tl2br w:val="nil"/>
                    <w:tr2bl w:val="nil"/>
                  </w:tcBorders>
                  <w:vAlign w:val="center"/>
                </w:tcPr>
                <w:p w14:paraId="65725208">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触发因素</w:t>
                  </w:r>
                </w:p>
              </w:tc>
              <w:tc>
                <w:tcPr>
                  <w:tcW w:w="606" w:type="pct"/>
                  <w:tcBorders>
                    <w:tl2br w:val="nil"/>
                    <w:tr2bl w:val="nil"/>
                  </w:tcBorders>
                  <w:vAlign w:val="center"/>
                </w:tcPr>
                <w:p w14:paraId="0A157463">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环境影响途径</w:t>
                  </w:r>
                </w:p>
              </w:tc>
              <w:tc>
                <w:tcPr>
                  <w:tcW w:w="604" w:type="pct"/>
                  <w:tcBorders>
                    <w:tl2br w:val="nil"/>
                    <w:tr2bl w:val="nil"/>
                  </w:tcBorders>
                  <w:vAlign w:val="center"/>
                </w:tcPr>
                <w:p w14:paraId="025E3C17">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可能受影响的敏感目标</w:t>
                  </w:r>
                </w:p>
              </w:tc>
            </w:tr>
            <w:tr w14:paraId="22A599F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jc w:val="center"/>
              </w:trPr>
              <w:tc>
                <w:tcPr>
                  <w:tcW w:w="257" w:type="pct"/>
                  <w:tcBorders>
                    <w:tl2br w:val="nil"/>
                    <w:tr2bl w:val="nil"/>
                  </w:tcBorders>
                  <w:vAlign w:val="center"/>
                </w:tcPr>
                <w:p w14:paraId="71038D42">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486" w:type="pct"/>
                  <w:tcBorders>
                    <w:tl2br w:val="nil"/>
                    <w:tr2bl w:val="nil"/>
                  </w:tcBorders>
                  <w:vAlign w:val="center"/>
                </w:tcPr>
                <w:p w14:paraId="22C5FF88">
                  <w:pPr>
                    <w:spacing w:line="24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危险废物临时贮存库</w:t>
                  </w:r>
                </w:p>
              </w:tc>
              <w:tc>
                <w:tcPr>
                  <w:tcW w:w="567" w:type="pct"/>
                  <w:tcBorders>
                    <w:tl2br w:val="nil"/>
                    <w:tr2bl w:val="nil"/>
                  </w:tcBorders>
                  <w:vAlign w:val="center"/>
                </w:tcPr>
                <w:p w14:paraId="5E5C1380">
                  <w:pPr>
                    <w:spacing w:line="24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废矿物油</w:t>
                  </w:r>
                </w:p>
              </w:tc>
              <w:tc>
                <w:tcPr>
                  <w:tcW w:w="711" w:type="pct"/>
                  <w:tcBorders>
                    <w:tl2br w:val="nil"/>
                    <w:tr2bl w:val="nil"/>
                  </w:tcBorders>
                  <w:vAlign w:val="center"/>
                </w:tcPr>
                <w:p w14:paraId="705277D6">
                  <w:pPr>
                    <w:spacing w:line="240" w:lineRule="exact"/>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液态</w:t>
                  </w:r>
                </w:p>
              </w:tc>
              <w:tc>
                <w:tcPr>
                  <w:tcW w:w="549" w:type="pct"/>
                  <w:tcBorders>
                    <w:tl2br w:val="nil"/>
                    <w:tr2bl w:val="nil"/>
                  </w:tcBorders>
                  <w:vAlign w:val="center"/>
                </w:tcPr>
                <w:p w14:paraId="2204DF9A">
                  <w:pPr>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609" w:type="pct"/>
                  <w:tcBorders>
                    <w:tl2br w:val="nil"/>
                    <w:tr2bl w:val="nil"/>
                  </w:tcBorders>
                  <w:vAlign w:val="center"/>
                </w:tcPr>
                <w:p w14:paraId="1D234563">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泄漏</w:t>
                  </w:r>
                </w:p>
              </w:tc>
              <w:tc>
                <w:tcPr>
                  <w:tcW w:w="606" w:type="pct"/>
                  <w:tcBorders>
                    <w:tl2br w:val="nil"/>
                    <w:tr2bl w:val="nil"/>
                  </w:tcBorders>
                  <w:vAlign w:val="center"/>
                </w:tcPr>
                <w:p w14:paraId="46D650F0">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容器、阀门破损，操作失误等</w:t>
                  </w:r>
                </w:p>
              </w:tc>
              <w:tc>
                <w:tcPr>
                  <w:tcW w:w="606" w:type="pct"/>
                  <w:tcBorders>
                    <w:tl2br w:val="nil"/>
                    <w:tr2bl w:val="nil"/>
                  </w:tcBorders>
                  <w:vAlign w:val="center"/>
                </w:tcPr>
                <w:p w14:paraId="7329D94B">
                  <w:pPr>
                    <w:spacing w:line="240" w:lineRule="exact"/>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土壤</w:t>
                  </w:r>
                  <w:r>
                    <w:rPr>
                      <w:rFonts w:ascii="Times New Roman" w:hAnsi="Times New Roman" w:eastAsia="宋体" w:cs="Times New Roman"/>
                      <w:color w:val="auto"/>
                      <w:sz w:val="21"/>
                      <w:szCs w:val="21"/>
                    </w:rPr>
                    <w:t>、地下水</w:t>
                  </w:r>
                </w:p>
              </w:tc>
              <w:tc>
                <w:tcPr>
                  <w:tcW w:w="604" w:type="pct"/>
                  <w:tcBorders>
                    <w:tl2br w:val="nil"/>
                    <w:tr2bl w:val="nil"/>
                  </w:tcBorders>
                  <w:vAlign w:val="center"/>
                </w:tcPr>
                <w:p w14:paraId="44E1FD77">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周边</w:t>
                  </w:r>
                  <w:r>
                    <w:rPr>
                      <w:rFonts w:hint="eastAsia" w:ascii="Times New Roman" w:hAnsi="Times New Roman" w:eastAsia="宋体" w:cs="Times New Roman"/>
                      <w:color w:val="auto"/>
                      <w:sz w:val="21"/>
                      <w:szCs w:val="21"/>
                      <w:lang w:val="en-US" w:eastAsia="zh-CN"/>
                    </w:rPr>
                    <w:t>土壤</w:t>
                  </w:r>
                  <w:r>
                    <w:rPr>
                      <w:rFonts w:ascii="Times New Roman" w:hAnsi="Times New Roman" w:eastAsia="宋体" w:cs="Times New Roman"/>
                      <w:color w:val="auto"/>
                      <w:sz w:val="21"/>
                      <w:szCs w:val="21"/>
                      <w:lang w:eastAsia="zh-CN"/>
                    </w:rPr>
                    <w:t>、浅层地下水</w:t>
                  </w:r>
                </w:p>
              </w:tc>
            </w:tr>
          </w:tbl>
          <w:p w14:paraId="57A3A230">
            <w:pPr>
              <w:spacing w:line="360" w:lineRule="auto"/>
              <w:ind w:firstLine="480" w:firstLineChars="200"/>
              <w:jc w:val="both"/>
              <w:rPr>
                <w:rFonts w:ascii="Times New Roman" w:hAnsi="Times New Roman" w:eastAsia="宋体" w:cs="Times New Roman"/>
                <w:bCs/>
                <w:color w:val="auto"/>
                <w:sz w:val="24"/>
                <w:szCs w:val="24"/>
              </w:rPr>
            </w:pPr>
            <w:r>
              <w:rPr>
                <w:rFonts w:hint="eastAsia" w:ascii="Times New Roman" w:hAnsi="Times New Roman" w:eastAsia="宋体" w:cs="Times New Roman"/>
                <w:bCs/>
                <w:color w:val="auto"/>
                <w:sz w:val="24"/>
                <w:szCs w:val="24"/>
                <w:lang w:val="en-US" w:eastAsia="zh-CN"/>
              </w:rPr>
              <w:t>3）</w:t>
            </w:r>
            <w:r>
              <w:rPr>
                <w:rFonts w:ascii="Times New Roman" w:hAnsi="Times New Roman" w:eastAsia="宋体" w:cs="Times New Roman"/>
                <w:bCs/>
                <w:color w:val="auto"/>
                <w:sz w:val="24"/>
                <w:szCs w:val="24"/>
              </w:rPr>
              <w:t>风险识别结果</w:t>
            </w:r>
          </w:p>
          <w:p w14:paraId="0C4B15D8">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项目涉及的风险物质为</w:t>
            </w:r>
            <w:r>
              <w:rPr>
                <w:rFonts w:hint="eastAsia" w:ascii="Times New Roman" w:hAnsi="Times New Roman" w:eastAsia="宋体" w:cs="Times New Roman"/>
                <w:bCs/>
                <w:color w:val="auto"/>
                <w:sz w:val="24"/>
                <w:szCs w:val="24"/>
                <w:lang w:eastAsia="zh-CN"/>
              </w:rPr>
              <w:t>废矿物油</w:t>
            </w:r>
            <w:r>
              <w:rPr>
                <w:rFonts w:ascii="Times New Roman" w:hAnsi="Times New Roman" w:eastAsia="宋体" w:cs="Times New Roman"/>
                <w:bCs/>
                <w:color w:val="auto"/>
                <w:sz w:val="24"/>
                <w:szCs w:val="24"/>
                <w:lang w:eastAsia="zh-CN"/>
              </w:rPr>
              <w:t>，风险物质分布在危废贮存库房，物质在储运过程存在环境风险因素，主要风险识别结果见下表。</w:t>
            </w:r>
          </w:p>
          <w:p w14:paraId="58714B69">
            <w:pPr>
              <w:pStyle w:val="44"/>
              <w:rPr>
                <w:rFonts w:hint="default" w:ascii="Times New Roman" w:hAnsi="Times New Roman" w:cs="Times New Roman"/>
                <w:color w:val="auto"/>
                <w:kern w:val="2"/>
                <w:lang w:eastAsia="zh-CN"/>
              </w:rPr>
            </w:pPr>
            <w:r>
              <w:rPr>
                <w:rFonts w:hint="default" w:ascii="Times New Roman" w:hAnsi="Times New Roman" w:cs="Times New Roman"/>
                <w:color w:val="auto"/>
                <w:kern w:val="2"/>
                <w:lang w:eastAsia="zh-CN"/>
              </w:rPr>
              <w:t>表</w:t>
            </w:r>
            <w:r>
              <w:rPr>
                <w:rFonts w:hint="default" w:ascii="Times New Roman" w:hAnsi="Times New Roman" w:eastAsia="宋体" w:cs="Times New Roman"/>
                <w:color w:val="auto"/>
                <w:kern w:val="2"/>
                <w:lang w:val="en-US" w:eastAsia="zh-CN"/>
              </w:rPr>
              <w:t>4</w:t>
            </w:r>
            <w:r>
              <w:rPr>
                <w:rFonts w:hint="eastAsia" w:ascii="Times New Roman" w:hAnsi="Times New Roman" w:eastAsia="宋体" w:cs="Times New Roman"/>
                <w:color w:val="auto"/>
                <w:kern w:val="2"/>
                <w:lang w:val="en-US" w:eastAsia="zh-CN"/>
              </w:rPr>
              <w:t xml:space="preserve">.9-3 </w:t>
            </w:r>
            <w:r>
              <w:rPr>
                <w:rFonts w:hint="default" w:ascii="Times New Roman" w:hAnsi="Times New Roman" w:cs="Times New Roman"/>
                <w:color w:val="auto"/>
                <w:kern w:val="2"/>
                <w:lang w:eastAsia="zh-CN"/>
              </w:rPr>
              <w:t>建设项目风险识别表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382"/>
              <w:gridCol w:w="778"/>
              <w:gridCol w:w="654"/>
              <w:gridCol w:w="759"/>
              <w:gridCol w:w="783"/>
              <w:gridCol w:w="680"/>
              <w:gridCol w:w="563"/>
              <w:gridCol w:w="968"/>
              <w:gridCol w:w="719"/>
              <w:gridCol w:w="868"/>
              <w:gridCol w:w="996"/>
            </w:tblGrid>
            <w:tr w14:paraId="36807FA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jc w:val="center"/>
              </w:trPr>
              <w:tc>
                <w:tcPr>
                  <w:tcW w:w="234" w:type="pct"/>
                  <w:tcBorders>
                    <w:tl2br w:val="nil"/>
                    <w:tr2bl w:val="nil"/>
                  </w:tcBorders>
                  <w:vAlign w:val="center"/>
                </w:tcPr>
                <w:p w14:paraId="2DF70D93">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477" w:type="pct"/>
                  <w:tcBorders>
                    <w:tl2br w:val="nil"/>
                    <w:tr2bl w:val="nil"/>
                  </w:tcBorders>
                  <w:vAlign w:val="center"/>
                </w:tcPr>
                <w:p w14:paraId="0CB72BD3">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危险单元</w:t>
                  </w:r>
                </w:p>
              </w:tc>
              <w:tc>
                <w:tcPr>
                  <w:tcW w:w="401" w:type="pct"/>
                  <w:tcBorders>
                    <w:tl2br w:val="nil"/>
                    <w:tr2bl w:val="nil"/>
                  </w:tcBorders>
                  <w:vAlign w:val="center"/>
                </w:tcPr>
                <w:p w14:paraId="274BEADF">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风险源</w:t>
                  </w:r>
                </w:p>
              </w:tc>
              <w:tc>
                <w:tcPr>
                  <w:tcW w:w="465" w:type="pct"/>
                  <w:tcBorders>
                    <w:tl2br w:val="nil"/>
                    <w:tr2bl w:val="nil"/>
                  </w:tcBorders>
                  <w:vAlign w:val="center"/>
                </w:tcPr>
                <w:p w14:paraId="500C8D3E">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主要危险物质</w:t>
                  </w:r>
                </w:p>
              </w:tc>
              <w:tc>
                <w:tcPr>
                  <w:tcW w:w="480" w:type="pct"/>
                  <w:tcBorders>
                    <w:tl2br w:val="nil"/>
                    <w:tr2bl w:val="nil"/>
                  </w:tcBorders>
                  <w:vAlign w:val="center"/>
                </w:tcPr>
                <w:p w14:paraId="024BC712">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危险物质最大存在量(t)</w:t>
                  </w:r>
                </w:p>
              </w:tc>
              <w:tc>
                <w:tcPr>
                  <w:tcW w:w="417" w:type="pct"/>
                  <w:tcBorders>
                    <w:tl2br w:val="nil"/>
                    <w:tr2bl w:val="nil"/>
                  </w:tcBorders>
                  <w:vAlign w:val="center"/>
                </w:tcPr>
                <w:p w14:paraId="4F28A600">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操作温度(℃)</w:t>
                  </w:r>
                </w:p>
              </w:tc>
              <w:tc>
                <w:tcPr>
                  <w:tcW w:w="345" w:type="pct"/>
                  <w:tcBorders>
                    <w:tl2br w:val="nil"/>
                    <w:tr2bl w:val="nil"/>
                  </w:tcBorders>
                  <w:vAlign w:val="center"/>
                </w:tcPr>
                <w:p w14:paraId="10550757">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操作压力</w:t>
                  </w:r>
                </w:p>
              </w:tc>
              <w:tc>
                <w:tcPr>
                  <w:tcW w:w="593" w:type="pct"/>
                  <w:tcBorders>
                    <w:tl2br w:val="nil"/>
                    <w:tr2bl w:val="nil"/>
                  </w:tcBorders>
                  <w:vAlign w:val="center"/>
                </w:tcPr>
                <w:p w14:paraId="72C091B9">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环境风险类型</w:t>
                  </w:r>
                </w:p>
              </w:tc>
              <w:tc>
                <w:tcPr>
                  <w:tcW w:w="441" w:type="pct"/>
                  <w:tcBorders>
                    <w:tl2br w:val="nil"/>
                    <w:tr2bl w:val="nil"/>
                  </w:tcBorders>
                  <w:vAlign w:val="center"/>
                </w:tcPr>
                <w:p w14:paraId="6CCA3DD8">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触发因素</w:t>
                  </w:r>
                </w:p>
              </w:tc>
              <w:tc>
                <w:tcPr>
                  <w:tcW w:w="532" w:type="pct"/>
                  <w:tcBorders>
                    <w:tl2br w:val="nil"/>
                    <w:tr2bl w:val="nil"/>
                  </w:tcBorders>
                  <w:vAlign w:val="center"/>
                </w:tcPr>
                <w:p w14:paraId="765CE625">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环境影响途径</w:t>
                  </w:r>
                </w:p>
              </w:tc>
              <w:tc>
                <w:tcPr>
                  <w:tcW w:w="610" w:type="pct"/>
                  <w:tcBorders>
                    <w:tl2br w:val="nil"/>
                    <w:tr2bl w:val="nil"/>
                  </w:tcBorders>
                  <w:vAlign w:val="center"/>
                </w:tcPr>
                <w:p w14:paraId="28A0CB1C">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可能受影响的敏感目标</w:t>
                  </w:r>
                </w:p>
              </w:tc>
            </w:tr>
            <w:tr w14:paraId="003BA8F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jc w:val="center"/>
              </w:trPr>
              <w:tc>
                <w:tcPr>
                  <w:tcW w:w="234" w:type="pct"/>
                  <w:tcBorders>
                    <w:tl2br w:val="nil"/>
                    <w:tr2bl w:val="nil"/>
                  </w:tcBorders>
                  <w:vAlign w:val="center"/>
                </w:tcPr>
                <w:p w14:paraId="1BD8771C">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477" w:type="pct"/>
                  <w:tcBorders>
                    <w:tl2br w:val="nil"/>
                    <w:tr2bl w:val="nil"/>
                  </w:tcBorders>
                  <w:vAlign w:val="center"/>
                </w:tcPr>
                <w:p w14:paraId="5895851B">
                  <w:pPr>
                    <w:spacing w:line="240" w:lineRule="exact"/>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危险废物临时贮存库</w:t>
                  </w:r>
                </w:p>
              </w:tc>
              <w:tc>
                <w:tcPr>
                  <w:tcW w:w="401" w:type="pct"/>
                  <w:tcBorders>
                    <w:tl2br w:val="nil"/>
                    <w:tr2bl w:val="nil"/>
                  </w:tcBorders>
                  <w:vAlign w:val="center"/>
                </w:tcPr>
                <w:p w14:paraId="5628D61D">
                  <w:pPr>
                    <w:spacing w:line="240" w:lineRule="exact"/>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废矿物油</w:t>
                  </w:r>
                </w:p>
              </w:tc>
              <w:tc>
                <w:tcPr>
                  <w:tcW w:w="465" w:type="pct"/>
                  <w:tcBorders>
                    <w:tl2br w:val="nil"/>
                    <w:tr2bl w:val="nil"/>
                  </w:tcBorders>
                  <w:vAlign w:val="center"/>
                </w:tcPr>
                <w:p w14:paraId="1FA74FA4">
                  <w:pPr>
                    <w:spacing w:line="24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危险废物</w:t>
                  </w:r>
                </w:p>
              </w:tc>
              <w:tc>
                <w:tcPr>
                  <w:tcW w:w="480" w:type="pct"/>
                  <w:tcBorders>
                    <w:tl2br w:val="nil"/>
                    <w:tr2bl w:val="nil"/>
                  </w:tcBorders>
                  <w:vAlign w:val="center"/>
                </w:tcPr>
                <w:p w14:paraId="4B7D767F">
                  <w:pPr>
                    <w:spacing w:line="240" w:lineRule="exact"/>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0.1</w:t>
                  </w:r>
                </w:p>
              </w:tc>
              <w:tc>
                <w:tcPr>
                  <w:tcW w:w="417" w:type="pct"/>
                  <w:tcBorders>
                    <w:tl2br w:val="nil"/>
                    <w:tr2bl w:val="nil"/>
                  </w:tcBorders>
                  <w:vAlign w:val="center"/>
                </w:tcPr>
                <w:p w14:paraId="76DFAF3A">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常温</w:t>
                  </w:r>
                </w:p>
              </w:tc>
              <w:tc>
                <w:tcPr>
                  <w:tcW w:w="345" w:type="pct"/>
                  <w:tcBorders>
                    <w:tl2br w:val="nil"/>
                    <w:tr2bl w:val="nil"/>
                  </w:tcBorders>
                  <w:vAlign w:val="center"/>
                </w:tcPr>
                <w:p w14:paraId="772E62A9">
                  <w:pPr>
                    <w:spacing w:line="240" w:lineRule="exact"/>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常压</w:t>
                  </w:r>
                </w:p>
              </w:tc>
              <w:tc>
                <w:tcPr>
                  <w:tcW w:w="593" w:type="pct"/>
                  <w:tcBorders>
                    <w:tl2br w:val="nil"/>
                    <w:tr2bl w:val="nil"/>
                  </w:tcBorders>
                  <w:vAlign w:val="center"/>
                </w:tcPr>
                <w:p w14:paraId="6B38423B">
                  <w:pPr>
                    <w:spacing w:line="240" w:lineRule="exact"/>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泄露</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lang w:eastAsia="zh-CN"/>
                    </w:rPr>
                    <w:t>火灾引发的伴生/次生的污染物释放</w:t>
                  </w:r>
                </w:p>
              </w:tc>
              <w:tc>
                <w:tcPr>
                  <w:tcW w:w="441" w:type="pct"/>
                  <w:tcBorders>
                    <w:tl2br w:val="nil"/>
                    <w:tr2bl w:val="nil"/>
                  </w:tcBorders>
                  <w:vAlign w:val="center"/>
                </w:tcPr>
                <w:p w14:paraId="6AC7C676">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管理不完善、操作失误等</w:t>
                  </w:r>
                </w:p>
              </w:tc>
              <w:tc>
                <w:tcPr>
                  <w:tcW w:w="532" w:type="pct"/>
                  <w:tcBorders>
                    <w:tl2br w:val="nil"/>
                    <w:tr2bl w:val="nil"/>
                  </w:tcBorders>
                  <w:vAlign w:val="center"/>
                </w:tcPr>
                <w:p w14:paraId="681BA610">
                  <w:pPr>
                    <w:spacing w:line="240" w:lineRule="exact"/>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大气、土壤</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地表水、</w:t>
                  </w:r>
                  <w:r>
                    <w:rPr>
                      <w:rFonts w:ascii="Times New Roman" w:hAnsi="Times New Roman" w:eastAsia="宋体" w:cs="Times New Roman"/>
                      <w:color w:val="auto"/>
                      <w:sz w:val="21"/>
                      <w:szCs w:val="21"/>
                    </w:rPr>
                    <w:t>地下水</w:t>
                  </w:r>
                </w:p>
              </w:tc>
              <w:tc>
                <w:tcPr>
                  <w:tcW w:w="610" w:type="pct"/>
                  <w:tcBorders>
                    <w:tl2br w:val="nil"/>
                    <w:tr2bl w:val="nil"/>
                  </w:tcBorders>
                  <w:vAlign w:val="center"/>
                </w:tcPr>
                <w:p w14:paraId="407EC792">
                  <w:pPr>
                    <w:spacing w:line="240" w:lineRule="exact"/>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周边居民</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土壤</w:t>
                  </w:r>
                  <w:r>
                    <w:rPr>
                      <w:rFonts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地表水</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lang w:eastAsia="zh-CN"/>
                    </w:rPr>
                    <w:t>浅层地下水</w:t>
                  </w:r>
                </w:p>
              </w:tc>
            </w:tr>
          </w:tbl>
          <w:p w14:paraId="5C338EA3">
            <w:pPr>
              <w:spacing w:line="360" w:lineRule="auto"/>
              <w:ind w:firstLine="480" w:firstLineChars="200"/>
              <w:jc w:val="both"/>
              <w:rPr>
                <w:rFonts w:ascii="Times New Roman" w:hAnsi="Times New Roman" w:eastAsia="宋体" w:cs="Times New Roman"/>
                <w:bCs/>
                <w:color w:val="auto"/>
                <w:sz w:val="24"/>
                <w:szCs w:val="24"/>
              </w:rPr>
            </w:pPr>
            <w:r>
              <w:rPr>
                <w:rFonts w:hint="eastAsia"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lang w:val="en-US" w:eastAsia="zh-CN"/>
              </w:rPr>
              <w:t>2</w:t>
            </w:r>
            <w:r>
              <w:rPr>
                <w:rFonts w:hint="eastAsia" w:ascii="Times New Roman" w:hAnsi="Times New Roman" w:eastAsia="宋体" w:cs="Times New Roman"/>
                <w:bCs/>
                <w:color w:val="auto"/>
                <w:sz w:val="24"/>
                <w:lang w:eastAsia="zh-CN"/>
              </w:rPr>
              <w:t>）</w:t>
            </w:r>
            <w:r>
              <w:rPr>
                <w:rFonts w:ascii="Times New Roman" w:hAnsi="Times New Roman" w:eastAsia="宋体" w:cs="Times New Roman"/>
                <w:bCs/>
                <w:color w:val="auto"/>
                <w:sz w:val="24"/>
                <w:szCs w:val="24"/>
              </w:rPr>
              <w:t>风险事故情形分析</w:t>
            </w:r>
          </w:p>
          <w:p w14:paraId="2C66DE8D">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在风险识别的基础上，选择有</w:t>
            </w:r>
            <w:r>
              <w:rPr>
                <w:rFonts w:hint="eastAsia" w:ascii="Times New Roman" w:hAnsi="Times New Roman" w:eastAsia="宋体" w:cs="Times New Roman"/>
                <w:bCs/>
                <w:color w:val="auto"/>
                <w:sz w:val="24"/>
                <w:szCs w:val="24"/>
                <w:lang w:val="en-US" w:eastAsia="zh-CN"/>
              </w:rPr>
              <w:t>废矿物油</w:t>
            </w:r>
            <w:r>
              <w:rPr>
                <w:rFonts w:ascii="Times New Roman" w:hAnsi="Times New Roman" w:eastAsia="宋体" w:cs="Times New Roman"/>
                <w:bCs/>
                <w:color w:val="auto"/>
                <w:sz w:val="24"/>
                <w:szCs w:val="24"/>
                <w:lang w:eastAsia="zh-CN"/>
              </w:rPr>
              <w:t>为主要的危险因子。通过对本工程各装置和设施的分析，本次环境风险评价确定为</w:t>
            </w:r>
            <w:r>
              <w:rPr>
                <w:rFonts w:hint="eastAsia" w:ascii="Times New Roman" w:hAnsi="Times New Roman" w:eastAsia="宋体" w:cs="Times New Roman"/>
                <w:bCs/>
                <w:color w:val="auto"/>
                <w:sz w:val="24"/>
                <w:szCs w:val="24"/>
                <w:lang w:val="en-US" w:eastAsia="zh-CN"/>
              </w:rPr>
              <w:t>废矿物油</w:t>
            </w:r>
            <w:r>
              <w:rPr>
                <w:rFonts w:ascii="Times New Roman" w:hAnsi="Times New Roman" w:eastAsia="宋体" w:cs="Times New Roman"/>
                <w:bCs/>
                <w:color w:val="auto"/>
                <w:sz w:val="24"/>
                <w:szCs w:val="24"/>
                <w:lang w:eastAsia="zh-CN"/>
              </w:rPr>
              <w:t>泄露</w:t>
            </w:r>
            <w:r>
              <w:rPr>
                <w:rFonts w:hint="eastAsia" w:ascii="Times New Roman" w:hAnsi="Times New Roman" w:eastAsia="宋体" w:cs="Times New Roman"/>
                <w:bCs/>
                <w:color w:val="auto"/>
                <w:sz w:val="24"/>
                <w:szCs w:val="24"/>
                <w:lang w:val="en-US" w:eastAsia="zh-CN"/>
              </w:rPr>
              <w:t>以及</w:t>
            </w:r>
            <w:r>
              <w:rPr>
                <w:rFonts w:ascii="Times New Roman" w:hAnsi="Times New Roman" w:eastAsia="宋体" w:cs="Times New Roman"/>
                <w:bCs/>
                <w:color w:val="auto"/>
                <w:sz w:val="24"/>
                <w:szCs w:val="24"/>
                <w:lang w:eastAsia="zh-CN"/>
              </w:rPr>
              <w:t>遇到点火源发生火灾</w:t>
            </w:r>
            <w:r>
              <w:rPr>
                <w:rFonts w:hint="eastAsia" w:ascii="Times New Roman" w:hAnsi="Times New Roman" w:eastAsia="宋体" w:cs="Times New Roman"/>
                <w:bCs/>
                <w:color w:val="auto"/>
                <w:sz w:val="24"/>
                <w:szCs w:val="24"/>
                <w:lang w:val="en-US" w:eastAsia="zh-CN"/>
              </w:rPr>
              <w:t>导致的次生环境污染</w:t>
            </w:r>
            <w:r>
              <w:rPr>
                <w:rFonts w:ascii="Times New Roman" w:hAnsi="Times New Roman" w:eastAsia="宋体" w:cs="Times New Roman"/>
                <w:bCs/>
                <w:color w:val="auto"/>
                <w:sz w:val="24"/>
                <w:szCs w:val="24"/>
                <w:lang w:eastAsia="zh-CN"/>
              </w:rPr>
              <w:t>。</w:t>
            </w:r>
          </w:p>
          <w:p w14:paraId="46EC6CA8">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lang w:val="en-US" w:eastAsia="zh-CN"/>
              </w:rPr>
              <w:t>3</w:t>
            </w:r>
            <w:r>
              <w:rPr>
                <w:rFonts w:hint="eastAsia" w:ascii="Times New Roman" w:hAnsi="Times New Roman" w:eastAsia="宋体" w:cs="Times New Roman"/>
                <w:bCs/>
                <w:color w:val="auto"/>
                <w:sz w:val="24"/>
                <w:lang w:eastAsia="zh-CN"/>
              </w:rPr>
              <w:t>）</w:t>
            </w:r>
            <w:r>
              <w:rPr>
                <w:rFonts w:ascii="Times New Roman" w:hAnsi="Times New Roman" w:eastAsia="宋体" w:cs="Times New Roman"/>
                <w:bCs/>
                <w:color w:val="auto"/>
                <w:sz w:val="24"/>
                <w:szCs w:val="24"/>
                <w:lang w:eastAsia="zh-CN"/>
              </w:rPr>
              <w:t>环境风险影响分析</w:t>
            </w:r>
          </w:p>
          <w:p w14:paraId="5AFE8652">
            <w:pPr>
              <w:spacing w:line="360" w:lineRule="auto"/>
              <w:ind w:firstLine="480" w:firstLineChars="200"/>
              <w:jc w:val="both"/>
              <w:rPr>
                <w:rFonts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lang w:val="en-US" w:eastAsia="zh-CN"/>
              </w:rPr>
              <w:t>1）</w:t>
            </w:r>
            <w:r>
              <w:rPr>
                <w:rFonts w:ascii="Times New Roman" w:hAnsi="Times New Roman" w:eastAsia="宋体" w:cs="Times New Roman"/>
                <w:bCs/>
                <w:color w:val="auto"/>
                <w:sz w:val="24"/>
                <w:szCs w:val="24"/>
                <w:lang w:eastAsia="zh-CN"/>
              </w:rPr>
              <w:t>大气环境影响分析</w:t>
            </w:r>
          </w:p>
          <w:p w14:paraId="6AF8B6FE">
            <w:pPr>
              <w:spacing w:line="360" w:lineRule="auto"/>
              <w:ind w:firstLine="480" w:firstLineChars="200"/>
              <w:jc w:val="both"/>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①</w:t>
            </w:r>
            <w:r>
              <w:rPr>
                <w:rFonts w:hint="default" w:ascii="Times New Roman" w:hAnsi="Times New Roman" w:eastAsia="宋体" w:cs="Times New Roman"/>
                <w:bCs/>
                <w:color w:val="auto"/>
                <w:sz w:val="24"/>
                <w:szCs w:val="24"/>
                <w:lang w:val="en-US" w:eastAsia="zh-CN"/>
              </w:rPr>
              <w:t>情景</w:t>
            </w:r>
            <w:r>
              <w:rPr>
                <w:rFonts w:hint="eastAsia" w:ascii="Times New Roman" w:hAnsi="Times New Roman" w:eastAsia="宋体" w:cs="Times New Roman"/>
                <w:bCs/>
                <w:color w:val="auto"/>
                <w:sz w:val="24"/>
                <w:szCs w:val="24"/>
                <w:lang w:val="en-US" w:eastAsia="zh-CN"/>
              </w:rPr>
              <w:t>分析</w:t>
            </w:r>
          </w:p>
          <w:p w14:paraId="25F38C87">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废矿物油</w:t>
            </w:r>
            <w:r>
              <w:rPr>
                <w:rFonts w:ascii="Times New Roman" w:hAnsi="Times New Roman" w:eastAsia="宋体" w:cs="Times New Roman"/>
                <w:bCs/>
                <w:color w:val="auto"/>
                <w:sz w:val="24"/>
                <w:szCs w:val="24"/>
                <w:lang w:eastAsia="zh-CN"/>
              </w:rPr>
              <w:t>泄漏后，可能发生火灾或爆炸风险，对周围大气环境造成影响。泄漏事故影响范围主要局限在厂区及周边企业范围，不会对周围居民安全造成威胁。</w:t>
            </w:r>
          </w:p>
          <w:p w14:paraId="5349BB59">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本企业通过从建设、生产、贮存等方面积极采取防护措施，采取一系列安全防治措施，加强管理、控制及监督、生产和维护，项目建成后将制定完善的安全管理、降低风险的规章制度，加强管理监督、维护检查。</w:t>
            </w:r>
          </w:p>
          <w:p w14:paraId="0AAA594C">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2）</w:t>
            </w:r>
            <w:r>
              <w:rPr>
                <w:rFonts w:ascii="Times New Roman" w:hAnsi="Times New Roman" w:eastAsia="宋体" w:cs="Times New Roman"/>
                <w:bCs/>
                <w:color w:val="auto"/>
                <w:sz w:val="24"/>
                <w:szCs w:val="24"/>
                <w:lang w:eastAsia="zh-CN"/>
              </w:rPr>
              <w:t>地表水环境影响分析</w:t>
            </w:r>
          </w:p>
          <w:p w14:paraId="5CBBD42A">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①</w:t>
            </w:r>
            <w:r>
              <w:rPr>
                <w:rFonts w:ascii="Times New Roman" w:hAnsi="Times New Roman" w:eastAsia="宋体" w:cs="Times New Roman"/>
                <w:bCs/>
                <w:color w:val="auto"/>
                <w:sz w:val="24"/>
                <w:szCs w:val="24"/>
                <w:lang w:eastAsia="zh-CN"/>
              </w:rPr>
              <w:t>物料泄露</w:t>
            </w:r>
          </w:p>
          <w:p w14:paraId="402E8BDE">
            <w:pPr>
              <w:spacing w:line="360" w:lineRule="auto"/>
              <w:ind w:firstLine="480" w:firstLineChars="200"/>
              <w:jc w:val="both"/>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a、</w:t>
            </w:r>
            <w:r>
              <w:rPr>
                <w:rFonts w:hint="default" w:ascii="Times New Roman" w:hAnsi="Times New Roman" w:eastAsia="宋体" w:cs="Times New Roman"/>
                <w:bCs/>
                <w:color w:val="auto"/>
                <w:sz w:val="24"/>
                <w:szCs w:val="24"/>
                <w:lang w:val="en-US" w:eastAsia="zh-CN"/>
              </w:rPr>
              <w:t>情景</w:t>
            </w:r>
            <w:r>
              <w:rPr>
                <w:rFonts w:hint="eastAsia" w:ascii="Times New Roman" w:hAnsi="Times New Roman" w:eastAsia="宋体" w:cs="Times New Roman"/>
                <w:bCs/>
                <w:color w:val="auto"/>
                <w:sz w:val="24"/>
                <w:szCs w:val="24"/>
                <w:lang w:val="en-US" w:eastAsia="zh-CN"/>
              </w:rPr>
              <w:t>分析</w:t>
            </w:r>
          </w:p>
          <w:p w14:paraId="76C4B83A">
            <w:pPr>
              <w:spacing w:line="360" w:lineRule="auto"/>
              <w:ind w:firstLine="480" w:firstLineChars="200"/>
              <w:jc w:val="both"/>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泄漏原因：根据前述环境风险物质识别，</w:t>
            </w:r>
            <w:r>
              <w:rPr>
                <w:rFonts w:hint="eastAsia" w:ascii="Times New Roman" w:hAnsi="Times New Roman" w:eastAsia="宋体" w:cs="Times New Roman"/>
                <w:bCs/>
                <w:color w:val="auto"/>
                <w:sz w:val="24"/>
                <w:szCs w:val="24"/>
                <w:lang w:val="en-US" w:eastAsia="zh-CN"/>
              </w:rPr>
              <w:t>废矿物油</w:t>
            </w:r>
            <w:r>
              <w:rPr>
                <w:rFonts w:hint="default" w:ascii="Times New Roman" w:hAnsi="Times New Roman" w:eastAsia="宋体" w:cs="Times New Roman"/>
                <w:bCs/>
                <w:color w:val="auto"/>
                <w:sz w:val="24"/>
                <w:szCs w:val="24"/>
                <w:lang w:val="en-US" w:eastAsia="zh-CN"/>
              </w:rPr>
              <w:t>的危害性较大。</w:t>
            </w:r>
          </w:p>
          <w:p w14:paraId="60229089">
            <w:pPr>
              <w:spacing w:line="360" w:lineRule="auto"/>
              <w:ind w:firstLine="480" w:firstLineChars="200"/>
              <w:jc w:val="both"/>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b、</w:t>
            </w:r>
            <w:r>
              <w:rPr>
                <w:rFonts w:hint="default" w:ascii="Times New Roman" w:hAnsi="Times New Roman" w:eastAsia="宋体" w:cs="Times New Roman"/>
                <w:bCs/>
                <w:color w:val="auto"/>
                <w:sz w:val="24"/>
                <w:szCs w:val="24"/>
                <w:lang w:val="en-US" w:eastAsia="zh-CN"/>
              </w:rPr>
              <w:t>泄漏物质：</w:t>
            </w:r>
            <w:r>
              <w:rPr>
                <w:rFonts w:hint="eastAsia" w:ascii="Times New Roman" w:hAnsi="Times New Roman" w:eastAsia="宋体" w:cs="Times New Roman"/>
                <w:bCs/>
                <w:color w:val="auto"/>
                <w:sz w:val="24"/>
                <w:szCs w:val="24"/>
                <w:lang w:val="en-US" w:eastAsia="zh-CN"/>
              </w:rPr>
              <w:t>废矿物油</w:t>
            </w:r>
          </w:p>
          <w:p w14:paraId="408F0E18">
            <w:pPr>
              <w:spacing w:line="360" w:lineRule="auto"/>
              <w:ind w:firstLine="480" w:firstLineChars="200"/>
              <w:jc w:val="both"/>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②</w:t>
            </w:r>
            <w:r>
              <w:rPr>
                <w:rFonts w:hint="default" w:ascii="Times New Roman" w:hAnsi="Times New Roman" w:eastAsia="宋体" w:cs="Times New Roman"/>
                <w:bCs/>
                <w:color w:val="auto"/>
                <w:sz w:val="24"/>
                <w:szCs w:val="24"/>
                <w:lang w:val="en-US" w:eastAsia="zh-CN"/>
              </w:rPr>
              <w:t>污染源强和预测因子的确定</w:t>
            </w:r>
          </w:p>
          <w:p w14:paraId="57BA9116">
            <w:pPr>
              <w:spacing w:line="360" w:lineRule="auto"/>
              <w:ind w:firstLine="480" w:firstLineChars="200"/>
              <w:jc w:val="both"/>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a、</w:t>
            </w:r>
            <w:r>
              <w:rPr>
                <w:rFonts w:hint="default" w:ascii="Times New Roman" w:hAnsi="Times New Roman" w:eastAsia="宋体" w:cs="Times New Roman"/>
                <w:bCs/>
                <w:color w:val="auto"/>
                <w:sz w:val="24"/>
                <w:szCs w:val="24"/>
                <w:lang w:val="en-US" w:eastAsia="zh-CN"/>
              </w:rPr>
              <w:t>泄漏量</w:t>
            </w:r>
          </w:p>
          <w:p w14:paraId="04D5CF0F">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危险废物临时贮存库有专人监督和及视频监控措施，若出现泄露事故，一般能够在5min之内关闭阀门并进行控制处理。泄露废润滑油量最大量为0.1t。设计1m</w:t>
            </w:r>
            <w:r>
              <w:rPr>
                <w:rFonts w:hint="eastAsia" w:ascii="Times New Roman" w:hAnsi="Times New Roman" w:eastAsia="宋体" w:cs="Times New Roman"/>
                <w:bCs/>
                <w:color w:val="auto"/>
                <w:sz w:val="24"/>
                <w:szCs w:val="24"/>
                <w:vertAlign w:val="superscript"/>
                <w:lang w:val="en-US" w:eastAsia="zh-CN"/>
              </w:rPr>
              <w:t>3</w:t>
            </w:r>
            <w:r>
              <w:rPr>
                <w:rFonts w:hint="eastAsia" w:ascii="Times New Roman" w:hAnsi="Times New Roman" w:eastAsia="宋体" w:cs="Times New Roman"/>
                <w:bCs/>
                <w:color w:val="auto"/>
                <w:sz w:val="24"/>
                <w:szCs w:val="24"/>
                <w:lang w:val="en-US" w:eastAsia="zh-CN"/>
              </w:rPr>
              <w:t>收集池可满足要求。</w:t>
            </w:r>
          </w:p>
          <w:p w14:paraId="5308CB27">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项目存储的</w:t>
            </w:r>
            <w:r>
              <w:rPr>
                <w:rFonts w:hint="eastAsia" w:ascii="Times New Roman" w:hAnsi="Times New Roman" w:eastAsia="宋体" w:cs="Times New Roman"/>
                <w:bCs/>
                <w:color w:val="auto"/>
                <w:sz w:val="24"/>
                <w:szCs w:val="24"/>
                <w:lang w:val="en-US" w:eastAsia="zh-CN"/>
              </w:rPr>
              <w:t>液态</w:t>
            </w:r>
            <w:r>
              <w:rPr>
                <w:rFonts w:ascii="Times New Roman" w:hAnsi="Times New Roman" w:eastAsia="宋体" w:cs="Times New Roman"/>
                <w:bCs/>
                <w:color w:val="auto"/>
                <w:sz w:val="24"/>
                <w:szCs w:val="24"/>
                <w:lang w:eastAsia="zh-CN"/>
              </w:rPr>
              <w:t>危废最大</w:t>
            </w:r>
            <w:r>
              <w:rPr>
                <w:rFonts w:hint="eastAsia" w:ascii="Times New Roman" w:hAnsi="Times New Roman" w:eastAsia="宋体" w:cs="Times New Roman"/>
                <w:bCs/>
                <w:color w:val="auto"/>
                <w:sz w:val="24"/>
                <w:szCs w:val="24"/>
                <w:lang w:val="en-US" w:eastAsia="zh-CN"/>
              </w:rPr>
              <w:t>储存量</w:t>
            </w:r>
            <w:r>
              <w:rPr>
                <w:rFonts w:ascii="Times New Roman" w:hAnsi="Times New Roman" w:eastAsia="宋体" w:cs="Times New Roman"/>
                <w:bCs/>
                <w:color w:val="auto"/>
                <w:sz w:val="24"/>
                <w:szCs w:val="24"/>
                <w:lang w:eastAsia="zh-CN"/>
              </w:rPr>
              <w:t>为</w:t>
            </w:r>
            <w:r>
              <w:rPr>
                <w:rFonts w:hint="eastAsia" w:ascii="Times New Roman" w:hAnsi="Times New Roman" w:eastAsia="宋体" w:cs="Times New Roman"/>
                <w:bCs/>
                <w:color w:val="auto"/>
                <w:sz w:val="24"/>
                <w:szCs w:val="24"/>
                <w:lang w:val="en-US" w:eastAsia="zh-CN"/>
              </w:rPr>
              <w:t>0.1t</w:t>
            </w:r>
            <w:r>
              <w:rPr>
                <w:rFonts w:ascii="Times New Roman" w:hAnsi="Times New Roman" w:eastAsia="宋体" w:cs="Times New Roman"/>
                <w:bCs/>
                <w:color w:val="auto"/>
                <w:sz w:val="24"/>
                <w:szCs w:val="24"/>
                <w:lang w:eastAsia="zh-CN"/>
              </w:rPr>
              <w:t>，项目贮存库房四周设置导流槽和事故集液池(1m</w:t>
            </w:r>
            <w:r>
              <w:rPr>
                <w:rFonts w:ascii="Times New Roman" w:hAnsi="Times New Roman" w:eastAsia="宋体" w:cs="Times New Roman"/>
                <w:bCs/>
                <w:color w:val="auto"/>
                <w:sz w:val="24"/>
                <w:szCs w:val="24"/>
                <w:vertAlign w:val="superscript"/>
                <w:lang w:eastAsia="zh-CN"/>
              </w:rPr>
              <w:t>3</w:t>
            </w:r>
            <w:r>
              <w:rPr>
                <w:rFonts w:ascii="Times New Roman" w:hAnsi="Times New Roman" w:eastAsia="宋体" w:cs="Times New Roman"/>
                <w:bCs/>
                <w:color w:val="auto"/>
                <w:sz w:val="24"/>
                <w:szCs w:val="24"/>
                <w:lang w:eastAsia="zh-CN"/>
              </w:rPr>
              <w:t>)，并且事故集液池</w:t>
            </w:r>
            <w:r>
              <w:rPr>
                <w:rFonts w:hint="eastAsia" w:ascii="Times New Roman" w:hAnsi="Times New Roman" w:eastAsia="宋体" w:cs="Times New Roman"/>
                <w:bCs/>
                <w:color w:val="auto"/>
                <w:sz w:val="24"/>
                <w:szCs w:val="24"/>
                <w:lang w:eastAsia="zh-CN"/>
              </w:rPr>
              <w:t>、</w:t>
            </w:r>
            <w:r>
              <w:rPr>
                <w:rFonts w:ascii="Times New Roman" w:hAnsi="Times New Roman" w:eastAsia="宋体" w:cs="Times New Roman"/>
                <w:bCs/>
                <w:color w:val="auto"/>
                <w:sz w:val="24"/>
                <w:szCs w:val="24"/>
                <w:lang w:eastAsia="zh-CN"/>
              </w:rPr>
              <w:t>导流槽</w:t>
            </w:r>
            <w:r>
              <w:rPr>
                <w:rFonts w:hint="eastAsia" w:ascii="Times New Roman" w:hAnsi="Times New Roman" w:eastAsia="宋体" w:cs="Times New Roman"/>
                <w:bCs/>
                <w:color w:val="auto"/>
                <w:sz w:val="24"/>
                <w:szCs w:val="24"/>
                <w:lang w:val="en-US" w:eastAsia="zh-CN"/>
              </w:rPr>
              <w:t>及事故池</w:t>
            </w:r>
            <w:r>
              <w:rPr>
                <w:rFonts w:ascii="Times New Roman" w:hAnsi="Times New Roman" w:eastAsia="宋体" w:cs="Times New Roman"/>
                <w:bCs/>
                <w:color w:val="auto"/>
                <w:sz w:val="24"/>
                <w:szCs w:val="24"/>
                <w:lang w:eastAsia="zh-CN"/>
              </w:rPr>
              <w:t>相联通，</w:t>
            </w:r>
            <w:r>
              <w:rPr>
                <w:rFonts w:hint="eastAsia" w:ascii="Times New Roman" w:hAnsi="Times New Roman" w:eastAsia="宋体" w:cs="Times New Roman"/>
                <w:bCs/>
                <w:color w:val="auto"/>
                <w:sz w:val="24"/>
                <w:szCs w:val="24"/>
                <w:lang w:val="en-US" w:eastAsia="zh-CN"/>
              </w:rPr>
              <w:t>初期雨水进入初期雨水池，</w:t>
            </w:r>
            <w:r>
              <w:rPr>
                <w:rFonts w:ascii="Times New Roman" w:hAnsi="Times New Roman" w:eastAsia="宋体" w:cs="Times New Roman"/>
                <w:bCs/>
                <w:color w:val="auto"/>
                <w:sz w:val="24"/>
                <w:szCs w:val="24"/>
                <w:lang w:eastAsia="zh-CN"/>
              </w:rPr>
              <w:t>能够满足容器破损情形下泄露也得收集功能</w:t>
            </w:r>
            <w:r>
              <w:rPr>
                <w:rFonts w:hint="eastAsia" w:ascii="Times New Roman" w:hAnsi="Times New Roman" w:eastAsia="宋体" w:cs="Times New Roman"/>
                <w:bCs/>
                <w:color w:val="auto"/>
                <w:sz w:val="24"/>
                <w:szCs w:val="24"/>
                <w:lang w:val="en-US" w:eastAsia="zh-CN"/>
              </w:rPr>
              <w:t>，</w:t>
            </w:r>
            <w:r>
              <w:rPr>
                <w:rFonts w:ascii="Times New Roman" w:hAnsi="Times New Roman" w:eastAsia="宋体" w:cs="Times New Roman"/>
                <w:bCs/>
                <w:color w:val="auto"/>
                <w:sz w:val="24"/>
                <w:szCs w:val="24"/>
                <w:lang w:eastAsia="zh-CN"/>
              </w:rPr>
              <w:t>不会外流至外环境，不会对周围地表水环境产生影响。</w:t>
            </w:r>
          </w:p>
          <w:p w14:paraId="5FF79A04">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3）</w:t>
            </w:r>
            <w:r>
              <w:rPr>
                <w:rFonts w:ascii="Times New Roman" w:hAnsi="Times New Roman" w:eastAsia="宋体" w:cs="Times New Roman"/>
                <w:bCs/>
                <w:color w:val="auto"/>
                <w:sz w:val="24"/>
                <w:szCs w:val="24"/>
                <w:lang w:eastAsia="zh-CN"/>
              </w:rPr>
              <w:t>地下水环境影响分析</w:t>
            </w:r>
          </w:p>
          <w:p w14:paraId="6681BDE3">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本项目</w:t>
            </w:r>
            <w:r>
              <w:rPr>
                <w:rFonts w:hint="eastAsia" w:ascii="Times New Roman" w:hAnsi="Times New Roman" w:eastAsia="宋体" w:cs="Times New Roman"/>
                <w:bCs/>
                <w:color w:val="auto"/>
                <w:sz w:val="24"/>
                <w:szCs w:val="24"/>
                <w:lang w:val="en-US" w:eastAsia="zh-CN"/>
              </w:rPr>
              <w:t>危险废物临时贮存库</w:t>
            </w:r>
            <w:r>
              <w:rPr>
                <w:rFonts w:ascii="Times New Roman" w:hAnsi="Times New Roman" w:eastAsia="宋体" w:cs="Times New Roman"/>
                <w:bCs/>
                <w:color w:val="auto"/>
                <w:sz w:val="24"/>
                <w:szCs w:val="24"/>
                <w:lang w:eastAsia="zh-CN"/>
              </w:rPr>
              <w:t>进行严格的</w:t>
            </w:r>
            <w:r>
              <w:rPr>
                <w:rFonts w:hint="eastAsia" w:ascii="Times New Roman" w:hAnsi="Times New Roman" w:eastAsia="宋体" w:cs="Times New Roman"/>
                <w:bCs/>
                <w:color w:val="auto"/>
                <w:sz w:val="24"/>
                <w:szCs w:val="24"/>
                <w:lang w:val="en-US" w:eastAsia="zh-CN"/>
              </w:rPr>
              <w:t>重点</w:t>
            </w:r>
            <w:r>
              <w:rPr>
                <w:rFonts w:ascii="Times New Roman" w:hAnsi="Times New Roman" w:eastAsia="宋体" w:cs="Times New Roman"/>
                <w:bCs/>
                <w:color w:val="auto"/>
                <w:sz w:val="24"/>
                <w:szCs w:val="24"/>
                <w:lang w:eastAsia="zh-CN"/>
              </w:rPr>
              <w:t>防渗，做到事故状况下将泄漏物料、废水等全部收集，不直接排出厂区，避免对周围地表水和地下水产生污染。通过加强对检查，及时发现物料泄漏、修复破损的防渗层。物料泄漏不会对地下水</w:t>
            </w:r>
            <w:r>
              <w:rPr>
                <w:rFonts w:hint="eastAsia" w:ascii="Times New Roman" w:hAnsi="Times New Roman" w:eastAsia="宋体" w:cs="Times New Roman"/>
                <w:bCs/>
                <w:color w:val="auto"/>
                <w:sz w:val="24"/>
                <w:szCs w:val="24"/>
                <w:lang w:val="en-US" w:eastAsia="zh-CN"/>
              </w:rPr>
              <w:t>及土壤</w:t>
            </w:r>
            <w:r>
              <w:rPr>
                <w:rFonts w:ascii="Times New Roman" w:hAnsi="Times New Roman" w:eastAsia="宋体" w:cs="Times New Roman"/>
                <w:bCs/>
                <w:color w:val="auto"/>
                <w:sz w:val="24"/>
                <w:szCs w:val="24"/>
                <w:lang w:eastAsia="zh-CN"/>
              </w:rPr>
              <w:t>产生明显影响。</w:t>
            </w:r>
          </w:p>
          <w:p w14:paraId="1D724456">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w:t>
            </w:r>
            <w:r>
              <w:rPr>
                <w:rFonts w:hint="eastAsia" w:ascii="Times New Roman" w:hAnsi="Times New Roman" w:eastAsia="宋体" w:cs="Times New Roman"/>
                <w:bCs/>
                <w:color w:val="auto"/>
                <w:sz w:val="24"/>
                <w:szCs w:val="24"/>
                <w:lang w:val="en-US" w:eastAsia="zh-CN"/>
              </w:rPr>
              <w:t>3</w:t>
            </w:r>
            <w:r>
              <w:rPr>
                <w:rFonts w:hint="eastAsia" w:ascii="Times New Roman" w:hAnsi="Times New Roman" w:eastAsia="宋体" w:cs="Times New Roman"/>
                <w:bCs/>
                <w:color w:val="auto"/>
                <w:sz w:val="24"/>
                <w:szCs w:val="24"/>
                <w:lang w:eastAsia="zh-CN"/>
              </w:rPr>
              <w:t>）</w:t>
            </w:r>
            <w:r>
              <w:rPr>
                <w:rFonts w:ascii="Times New Roman" w:hAnsi="Times New Roman" w:eastAsia="宋体" w:cs="Times New Roman"/>
                <w:bCs/>
                <w:color w:val="auto"/>
                <w:sz w:val="24"/>
                <w:szCs w:val="24"/>
                <w:lang w:eastAsia="zh-CN"/>
              </w:rPr>
              <w:t>环境风险防范措施</w:t>
            </w:r>
          </w:p>
          <w:p w14:paraId="35941C63">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1）</w:t>
            </w:r>
            <w:r>
              <w:rPr>
                <w:rFonts w:hint="eastAsia" w:ascii="Times New Roman" w:hAnsi="Times New Roman" w:eastAsia="宋体" w:cs="Times New Roman"/>
                <w:bCs/>
                <w:color w:val="auto"/>
                <w:sz w:val="24"/>
                <w:szCs w:val="24"/>
                <w:lang w:eastAsia="zh-CN"/>
              </w:rPr>
              <w:t>运输过程中风险防范措施</w:t>
            </w:r>
          </w:p>
          <w:p w14:paraId="0978AD08">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危险废物运输应委托具有专业资质的运输公司负责。:</w:t>
            </w:r>
          </w:p>
          <w:p w14:paraId="15FD91B9">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①严格按照《危险废物收集、贮存、运输技术规范》和《危险废物污染防治技术政策》等相关法规政策、技术规范的要求对危险废物进行收集和运输。</w:t>
            </w:r>
          </w:p>
          <w:p w14:paraId="7286C204">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②尽量采用低风险的运输措施，运载易燃危废、废油的车辆应采用由专业资质单位设计制造的专门车辆，车载容器装置必须满足密闭、抗高压、防爆、不易破损、不易变形、不易老化的要求。</w:t>
            </w:r>
          </w:p>
          <w:p w14:paraId="669DE2C8">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③每次出车运输要经过周密的车况检查，并要事先作好周密的运输计划和行驶路线。合理规划运输时间，避免在车流和人流高峰时间运输。</w:t>
            </w:r>
          </w:p>
          <w:p w14:paraId="396321EA">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④对运输路线的学校、医院、人群集聚区、敏感水体等环境敏感点进行标记，除了加强车辆自身安全措施外，还应对沿线有安全隐患(路面损坏或安全措施缺失等)的路段向相关部门反馈，敦促相关部门加强敏感路段安全防护措施(标识牌、减速牌、防护栏等)的建设和维护，确保运输路线的安全性。</w:t>
            </w:r>
          </w:p>
          <w:p w14:paraId="4F2601E6">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⑤运输车辆经过运输路线附近的敏感点时应采取减速行驶、特殊警示方法降低风险发生概率，提醒周围车辆人群回避，降低风险影响。</w:t>
            </w:r>
          </w:p>
          <w:p w14:paraId="5270CA46">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⑥特殊物料的装运应做到定车、定人。各运输车辆的明显位置应有规定的危险废物标志。</w:t>
            </w:r>
          </w:p>
          <w:p w14:paraId="228C28BF">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⑦运输过程中发生意外，在采取紧急处理的同时，必须迅速报告公安机关和环保等有关部门，必要时疏散群众，防止事态进一步扩大，并积极协助公安交通和消防人员抢救伤者和物资，使损失降低到最小程度。</w:t>
            </w:r>
          </w:p>
          <w:p w14:paraId="1322EBFD">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⑧应对各运输车辆定期维护和检修，防患于未然，保持车辆在良好的工作状态。</w:t>
            </w:r>
          </w:p>
          <w:p w14:paraId="5F6836A1">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2）</w:t>
            </w:r>
            <w:r>
              <w:rPr>
                <w:rFonts w:hint="eastAsia" w:ascii="Times New Roman" w:hAnsi="Times New Roman" w:eastAsia="宋体" w:cs="Times New Roman"/>
                <w:bCs/>
                <w:color w:val="auto"/>
                <w:sz w:val="24"/>
                <w:szCs w:val="24"/>
                <w:lang w:eastAsia="zh-CN"/>
              </w:rPr>
              <w:t>贮存过程中风险防范措施</w:t>
            </w:r>
          </w:p>
          <w:p w14:paraId="607C4716">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贮存过程事故风险主要是因危险废物泄漏而造成的火灾爆炸、泄漏和水质污染等事故。</w:t>
            </w:r>
          </w:p>
          <w:p w14:paraId="743D9392">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①由于处置的危险废物具有毒性和易燃性，在贮存过程中应小心谨慎，熟知每种废物的性质和贮存注意事项，根据废物的特性及挥发特性等进行储存。要严格遵守有关贮存的安全规定。</w:t>
            </w:r>
          </w:p>
          <w:p w14:paraId="33326B12">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②不允许露天堆放。</w:t>
            </w:r>
          </w:p>
          <w:p w14:paraId="13241C6D">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③贮存危险废物的仓库或罐区管理人员，必须经过专业知识培训，熟悉贮存废物的特性、事故处理办法和防护知识，同时配备有关的个人防护用品。</w:t>
            </w:r>
          </w:p>
          <w:p w14:paraId="0764CE59">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④贮存的废物必须设有明显的标志，并按国家规定标准控制不同单位面积的最大贮存限量和垛距。</w:t>
            </w:r>
          </w:p>
          <w:p w14:paraId="166F5AEF">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⑤贮存危险废物的库房的消防设施、用电设施、防雷防静电设施等必须符合国家规定的安全要求。</w:t>
            </w:r>
          </w:p>
          <w:p w14:paraId="5DE58B51">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⑥加强危险废物仓库的管理以及地面的防腐、防渗，防止泄漏。</w:t>
            </w:r>
          </w:p>
          <w:p w14:paraId="186661B5">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3）</w:t>
            </w:r>
            <w:r>
              <w:rPr>
                <w:rFonts w:ascii="Times New Roman" w:hAnsi="Times New Roman" w:eastAsia="宋体" w:cs="Times New Roman"/>
                <w:bCs/>
                <w:color w:val="auto"/>
                <w:sz w:val="24"/>
                <w:szCs w:val="24"/>
                <w:lang w:eastAsia="zh-CN"/>
              </w:rPr>
              <w:t>物料泄漏应急处置措施</w:t>
            </w:r>
          </w:p>
          <w:p w14:paraId="35495287">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rPr>
              <w:t>小量泄漏：用砂土或其它不燃材料吸附或吸收。</w:t>
            </w:r>
            <w:r>
              <w:rPr>
                <w:rFonts w:ascii="Times New Roman" w:hAnsi="Times New Roman" w:eastAsia="宋体" w:cs="Times New Roman"/>
                <w:bCs/>
                <w:color w:val="auto"/>
                <w:sz w:val="24"/>
                <w:szCs w:val="24"/>
                <w:lang w:eastAsia="zh-CN"/>
              </w:rPr>
              <w:t>也可以用不燃性分散剂制成的乳液刷洗，洗液稀释后放入废水系统。</w:t>
            </w:r>
          </w:p>
          <w:p w14:paraId="5B7CB0AD">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大量泄漏：构筑围堤或挖坑收容。用防爆泵转移至槽车或专用收集器内，回收或运至废物处理场所处置。</w:t>
            </w:r>
          </w:p>
          <w:p w14:paraId="25CAAE01">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eastAsia="zh-CN"/>
              </w:rPr>
              <w:t>消防废水</w:t>
            </w:r>
            <w:r>
              <w:rPr>
                <w:rFonts w:ascii="Times New Roman" w:hAnsi="Times New Roman" w:eastAsia="宋体" w:cs="Times New Roman"/>
                <w:bCs/>
                <w:color w:val="auto"/>
                <w:sz w:val="24"/>
                <w:szCs w:val="24"/>
                <w:lang w:eastAsia="zh-CN"/>
              </w:rPr>
              <w:t>收集入事故水池，分批次</w:t>
            </w:r>
            <w:r>
              <w:rPr>
                <w:rFonts w:hint="eastAsia" w:ascii="Times New Roman" w:hAnsi="Times New Roman" w:eastAsia="宋体" w:cs="Times New Roman"/>
                <w:bCs/>
                <w:color w:val="auto"/>
                <w:sz w:val="24"/>
                <w:szCs w:val="24"/>
                <w:lang w:eastAsia="zh-CN"/>
              </w:rPr>
              <w:t>转运</w:t>
            </w:r>
            <w:r>
              <w:rPr>
                <w:rFonts w:ascii="Times New Roman" w:hAnsi="Times New Roman" w:eastAsia="宋体" w:cs="Times New Roman"/>
                <w:bCs/>
                <w:color w:val="auto"/>
                <w:sz w:val="24"/>
                <w:szCs w:val="24"/>
                <w:lang w:eastAsia="zh-CN"/>
              </w:rPr>
              <w:t>至</w:t>
            </w:r>
            <w:r>
              <w:rPr>
                <w:rFonts w:hint="eastAsia" w:ascii="Times New Roman" w:hAnsi="Times New Roman" w:eastAsia="宋体" w:cs="Times New Roman"/>
                <w:bCs/>
                <w:color w:val="auto"/>
                <w:sz w:val="24"/>
                <w:szCs w:val="24"/>
                <w:lang w:val="en-US" w:eastAsia="zh-CN"/>
              </w:rPr>
              <w:t>长治市潞城区</w:t>
            </w:r>
            <w:r>
              <w:rPr>
                <w:rFonts w:hint="eastAsia" w:ascii="Times New Roman" w:hAnsi="Times New Roman" w:eastAsia="宋体" w:cs="Times New Roman"/>
                <w:bCs/>
                <w:color w:val="auto"/>
                <w:sz w:val="24"/>
                <w:szCs w:val="24"/>
                <w:lang w:eastAsia="zh-CN"/>
              </w:rPr>
              <w:t>污水处理厂</w:t>
            </w:r>
            <w:r>
              <w:rPr>
                <w:rFonts w:ascii="Times New Roman" w:hAnsi="Times New Roman" w:eastAsia="宋体" w:cs="Times New Roman"/>
                <w:bCs/>
                <w:color w:val="auto"/>
                <w:sz w:val="24"/>
                <w:szCs w:val="24"/>
                <w:lang w:eastAsia="zh-CN"/>
              </w:rPr>
              <w:t>处置。</w:t>
            </w:r>
          </w:p>
          <w:p w14:paraId="32D87041">
            <w:pPr>
              <w:spacing w:line="360" w:lineRule="auto"/>
              <w:ind w:firstLine="480" w:firstLineChars="200"/>
              <w:jc w:val="both"/>
              <w:rPr>
                <w:rFonts w:ascii="Times New Roman" w:hAnsi="Times New Roman" w:eastAsia="宋体" w:cs="Times New Roman"/>
                <w:bCs/>
                <w:color w:val="auto"/>
                <w:sz w:val="24"/>
                <w:szCs w:val="24"/>
                <w:lang w:eastAsia="zh-CN"/>
              </w:rPr>
            </w:pPr>
            <w:r>
              <w:rPr>
                <w:rFonts w:hint="eastAsia" w:ascii="Times New Roman" w:hAnsi="Times New Roman" w:eastAsia="宋体" w:cs="Times New Roman"/>
                <w:bCs/>
                <w:color w:val="auto"/>
                <w:sz w:val="24"/>
                <w:szCs w:val="24"/>
                <w:lang w:val="en-US" w:eastAsia="zh-CN"/>
              </w:rPr>
              <w:t>4）</w:t>
            </w:r>
            <w:r>
              <w:rPr>
                <w:rFonts w:ascii="Times New Roman" w:hAnsi="Times New Roman" w:eastAsia="宋体" w:cs="Times New Roman"/>
                <w:bCs/>
                <w:color w:val="auto"/>
                <w:sz w:val="24"/>
                <w:szCs w:val="24"/>
                <w:lang w:eastAsia="zh-CN"/>
              </w:rPr>
              <w:t>突发环境事件应急预案</w:t>
            </w:r>
          </w:p>
          <w:p w14:paraId="769308E3">
            <w:pPr>
              <w:spacing w:line="360" w:lineRule="auto"/>
              <w:ind w:firstLine="480" w:firstLineChars="200"/>
              <w:jc w:val="both"/>
              <w:rPr>
                <w:rFonts w:ascii="Times New Roman" w:hAnsi="Times New Roman" w:eastAsia="宋体" w:cs="Times New Roman"/>
                <w:bCs/>
                <w:color w:val="auto"/>
                <w:sz w:val="24"/>
                <w:szCs w:val="24"/>
                <w:lang w:eastAsia="zh-CN"/>
              </w:rPr>
            </w:pPr>
            <w:r>
              <w:rPr>
                <w:rFonts w:ascii="Times New Roman" w:hAnsi="Times New Roman" w:eastAsia="宋体" w:cs="Times New Roman"/>
                <w:bCs/>
                <w:color w:val="auto"/>
                <w:sz w:val="24"/>
                <w:szCs w:val="24"/>
                <w:lang w:eastAsia="zh-CN"/>
              </w:rPr>
              <w:t>企业应按照国家、地方和相关部门要求编制企业突发环境事件应急预案，预案包括适用范围、环境事件分类与分级、组织机构与职责、监控和预警、应急响应、应急保障、善后处置、预案管理与演练等内容。并在当地环境保护管理部门完成备案。</w:t>
            </w:r>
          </w:p>
          <w:p w14:paraId="49E99D6F">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10  </w:t>
            </w:r>
            <w:r>
              <w:rPr>
                <w:rFonts w:hint="eastAsia" w:ascii="Times New Roman" w:hAnsi="Times New Roman" w:eastAsia="宋体" w:cs="Times New Roman"/>
                <w:b/>
                <w:bCs/>
                <w:color w:val="auto"/>
                <w:sz w:val="24"/>
                <w:szCs w:val="24"/>
                <w:lang w:eastAsia="zh-CN"/>
              </w:rPr>
              <w:t>地下水、土壤</w:t>
            </w:r>
          </w:p>
          <w:p w14:paraId="1ADE7DB5">
            <w:pPr>
              <w:spacing w:line="360" w:lineRule="auto"/>
              <w:ind w:firstLine="480" w:firstLineChars="200"/>
              <w:jc w:val="both"/>
              <w:rPr>
                <w:rFonts w:ascii="Times New Roman" w:hAnsi="Times New Roman" w:eastAsia="宋体" w:cs="Times New Roman"/>
                <w:bCs/>
                <w:color w:val="000000" w:themeColor="text1"/>
                <w:sz w:val="24"/>
                <w:lang w:eastAsia="zh-CN"/>
              </w:rPr>
            </w:pPr>
            <w:r>
              <w:rPr>
                <w:rFonts w:hint="default" w:ascii="Times New Roman" w:hAnsi="Times New Roman" w:eastAsia="宋体" w:cs="Times New Roman"/>
                <w:b w:val="0"/>
                <w:bCs w:val="0"/>
                <w:color w:val="auto"/>
                <w:sz w:val="24"/>
                <w:highlight w:val="none"/>
                <w:lang w:val="en-US" w:eastAsia="zh-CN"/>
              </w:rPr>
              <w:t>4.</w:t>
            </w:r>
            <w:r>
              <w:rPr>
                <w:rFonts w:hint="eastAsia" w:ascii="Times New Roman" w:hAnsi="Times New Roman" w:eastAsia="宋体" w:cs="Times New Roman"/>
                <w:b w:val="0"/>
                <w:bCs w:val="0"/>
                <w:color w:val="auto"/>
                <w:sz w:val="24"/>
                <w:highlight w:val="none"/>
                <w:lang w:val="en-US" w:eastAsia="zh-CN"/>
              </w:rPr>
              <w:t>10.1</w:t>
            </w:r>
            <w:r>
              <w:rPr>
                <w:rFonts w:hint="eastAsia" w:ascii="Times New Roman" w:hAnsi="Times New Roman" w:eastAsia="宋体" w:cs="Times New Roman"/>
                <w:bCs/>
                <w:color w:val="000000" w:themeColor="text1"/>
                <w:sz w:val="24"/>
                <w:lang w:eastAsia="zh-CN"/>
              </w:rPr>
              <w:t>地下水</w:t>
            </w:r>
          </w:p>
          <w:p w14:paraId="6B34AB23">
            <w:pPr>
              <w:spacing w:line="360" w:lineRule="auto"/>
              <w:ind w:firstLine="480" w:firstLineChars="200"/>
              <w:jc w:val="both"/>
              <w:rPr>
                <w:rFonts w:ascii="宋体" w:hAnsi="宋体" w:eastAsia="宋体" w:cs="宋体"/>
                <w:color w:val="000000" w:themeColor="text1"/>
                <w:sz w:val="24"/>
                <w:lang w:eastAsia="zh-CN"/>
              </w:rPr>
            </w:pPr>
            <w:r>
              <w:rPr>
                <w:rFonts w:hint="eastAsia" w:ascii="宋体" w:hAnsi="宋体" w:eastAsia="宋体" w:cs="宋体"/>
                <w:color w:val="000000" w:themeColor="text1"/>
                <w:sz w:val="24"/>
                <w:lang w:eastAsia="zh-CN"/>
              </w:rPr>
              <w:t>本项目厂区对</w:t>
            </w:r>
            <w:r>
              <w:rPr>
                <w:rFonts w:hint="eastAsia" w:ascii="宋体" w:hAnsi="宋体" w:eastAsia="宋体" w:cs="宋体"/>
                <w:color w:val="000000" w:themeColor="text1"/>
                <w:sz w:val="24"/>
                <w:lang w:val="en-US" w:eastAsia="zh-CN"/>
              </w:rPr>
              <w:t>危险废物临时贮存库</w:t>
            </w:r>
            <w:r>
              <w:rPr>
                <w:rFonts w:hint="eastAsia" w:ascii="宋体" w:hAnsi="宋体" w:eastAsia="宋体" w:cs="宋体"/>
                <w:color w:val="000000" w:themeColor="text1"/>
                <w:sz w:val="24"/>
                <w:lang w:eastAsia="zh-CN"/>
              </w:rPr>
              <w:t>做好防渗措施，以避免对地下水的影响。</w:t>
            </w:r>
          </w:p>
          <w:p w14:paraId="75F39BF6">
            <w:pPr>
              <w:spacing w:line="360" w:lineRule="auto"/>
              <w:ind w:firstLine="480" w:firstLineChars="200"/>
              <w:jc w:val="both"/>
              <w:rPr>
                <w:rFonts w:ascii="宋体" w:hAnsi="宋体" w:eastAsia="宋体" w:cs="宋体"/>
                <w:color w:val="000000" w:themeColor="text1"/>
                <w:sz w:val="24"/>
                <w:lang w:eastAsia="zh-CN"/>
              </w:rPr>
            </w:pPr>
            <w:r>
              <w:rPr>
                <w:rFonts w:hint="eastAsia" w:ascii="宋体" w:hAnsi="宋体" w:eastAsia="宋体" w:cs="宋体"/>
                <w:color w:val="000000" w:themeColor="text1"/>
                <w:sz w:val="24"/>
                <w:lang w:eastAsia="zh-CN"/>
              </w:rPr>
              <w:t>①源头控制措施</w:t>
            </w:r>
          </w:p>
          <w:p w14:paraId="7AD2B886">
            <w:pPr>
              <w:spacing w:line="360" w:lineRule="auto"/>
              <w:ind w:firstLine="480" w:firstLineChars="200"/>
              <w:jc w:val="both"/>
              <w:rPr>
                <w:rFonts w:ascii="宋体" w:hAnsi="宋体" w:eastAsia="宋体" w:cs="宋体"/>
                <w:color w:val="000000" w:themeColor="text1"/>
                <w:sz w:val="24"/>
                <w:lang w:eastAsia="zh-CN"/>
              </w:rPr>
            </w:pPr>
            <w:r>
              <w:rPr>
                <w:rFonts w:hint="eastAsia" w:ascii="宋体" w:hAnsi="宋体" w:eastAsia="宋体" w:cs="宋体"/>
                <w:color w:val="000000" w:themeColor="text1"/>
                <w:sz w:val="24"/>
                <w:lang w:eastAsia="zh-CN"/>
              </w:rPr>
              <w:t>项目应根据国家现行相关规范加强环境管理，采取防止和降低污染物跑、冒、滴、漏的措施。正常运营过程中应加强对各水池防渗工程的检查，若发现防渗材料老化或损坏，应及时维修更换。</w:t>
            </w:r>
          </w:p>
          <w:p w14:paraId="67269345">
            <w:pPr>
              <w:spacing w:line="360" w:lineRule="auto"/>
              <w:ind w:firstLine="480" w:firstLineChars="200"/>
              <w:jc w:val="both"/>
              <w:rPr>
                <w:rFonts w:ascii="宋体" w:hAnsi="宋体" w:eastAsia="宋体" w:cs="宋体"/>
                <w:color w:val="000000" w:themeColor="text1"/>
                <w:sz w:val="24"/>
                <w:lang w:eastAsia="zh-CN"/>
              </w:rPr>
            </w:pPr>
            <w:r>
              <w:rPr>
                <w:rFonts w:hint="eastAsia" w:ascii="宋体" w:hAnsi="宋体" w:eastAsia="宋体" w:cs="宋体"/>
                <w:color w:val="000000" w:themeColor="text1"/>
                <w:sz w:val="24"/>
                <w:lang w:eastAsia="zh-CN"/>
              </w:rPr>
              <w:t>②分区防控措施</w:t>
            </w:r>
          </w:p>
          <w:p w14:paraId="3209B9EB">
            <w:pPr>
              <w:spacing w:line="360" w:lineRule="auto"/>
              <w:ind w:firstLine="480" w:firstLineChars="200"/>
              <w:jc w:val="both"/>
              <w:rPr>
                <w:rFonts w:ascii="宋体" w:hAnsi="宋体" w:eastAsia="宋体" w:cs="宋体"/>
                <w:color w:val="000000" w:themeColor="text1"/>
                <w:sz w:val="24"/>
                <w:lang w:eastAsia="zh-CN"/>
              </w:rPr>
            </w:pPr>
            <w:r>
              <w:rPr>
                <w:rFonts w:hint="eastAsia" w:ascii="宋体" w:hAnsi="宋体" w:eastAsia="宋体" w:cs="宋体"/>
                <w:color w:val="000000" w:themeColor="text1"/>
                <w:sz w:val="24"/>
                <w:lang w:eastAsia="zh-CN"/>
              </w:rPr>
              <w:t>结合项目区天然包气带的防污性能及本项目的污染控制难易程度，评价要求厂区进行地下水污染的分区防控，其中，危险废物临时贮存库进行重点防渗，生产车间及其他地面进行简单防渗处理。</w:t>
            </w:r>
          </w:p>
          <w:p w14:paraId="60701D21">
            <w:pPr>
              <w:spacing w:line="360" w:lineRule="auto"/>
              <w:ind w:firstLine="480" w:firstLineChars="200"/>
              <w:jc w:val="both"/>
              <w:rPr>
                <w:rFonts w:ascii="Times New Roman" w:hAnsi="Times New Roman" w:eastAsia="宋体" w:cs="Times New Roman"/>
                <w:bCs/>
                <w:color w:val="000000" w:themeColor="text1"/>
                <w:sz w:val="24"/>
                <w:lang w:eastAsia="zh-CN"/>
              </w:rPr>
            </w:pPr>
            <w:r>
              <w:rPr>
                <w:rFonts w:hint="eastAsia" w:ascii="Times New Roman" w:hAnsi="Times New Roman" w:eastAsia="宋体" w:cs="Times New Roman"/>
                <w:color w:val="000000" w:themeColor="text1"/>
                <w:sz w:val="24"/>
                <w:szCs w:val="24"/>
                <w:lang w:eastAsia="zh-CN"/>
              </w:rPr>
              <w:t>本项目距辛安</w:t>
            </w:r>
            <w:r>
              <w:rPr>
                <w:rFonts w:hint="eastAsia" w:ascii="Times New Roman" w:hAnsi="Times New Roman" w:eastAsia="宋体" w:cs="Times New Roman"/>
                <w:color w:val="000000" w:themeColor="text1"/>
                <w:sz w:val="24"/>
                <w:szCs w:val="24"/>
                <w:lang w:val="en-US" w:eastAsia="zh-CN"/>
              </w:rPr>
              <w:t>泉域</w:t>
            </w:r>
            <w:r>
              <w:rPr>
                <w:rFonts w:hint="eastAsia" w:ascii="Times New Roman" w:hAnsi="Times New Roman" w:eastAsia="宋体" w:cs="Times New Roman"/>
                <w:color w:val="000000" w:themeColor="text1"/>
                <w:sz w:val="24"/>
                <w:szCs w:val="24"/>
                <w:lang w:eastAsia="zh-CN"/>
              </w:rPr>
              <w:t>重点保护范围约为</w:t>
            </w:r>
            <w:r>
              <w:rPr>
                <w:rFonts w:hint="eastAsia" w:ascii="Times New Roman" w:hAnsi="Times New Roman" w:eastAsia="宋体" w:cs="Times New Roman"/>
                <w:color w:val="auto"/>
                <w:sz w:val="24"/>
                <w:lang w:val="en-US" w:eastAsia="zh-CN"/>
              </w:rPr>
              <w:t>3km</w:t>
            </w:r>
            <w:r>
              <w:rPr>
                <w:rFonts w:hint="eastAsia" w:ascii="Times New Roman" w:hAnsi="Times New Roman" w:eastAsia="宋体" w:cs="Times New Roman"/>
                <w:color w:val="000000" w:themeColor="text1"/>
                <w:sz w:val="24"/>
                <w:szCs w:val="24"/>
                <w:lang w:eastAsia="zh-CN"/>
              </w:rPr>
              <w:t>，不位于重点保护区范围内。本项目建成后无废水外排，经严格采取以上防渗措施后，本项目建设对辛安</w:t>
            </w:r>
            <w:r>
              <w:rPr>
                <w:rFonts w:hint="eastAsia" w:ascii="Times New Roman" w:hAnsi="Times New Roman" w:eastAsia="宋体" w:cs="Times New Roman"/>
                <w:color w:val="000000" w:themeColor="text1"/>
                <w:sz w:val="24"/>
                <w:szCs w:val="24"/>
                <w:lang w:val="en-US" w:eastAsia="zh-CN"/>
              </w:rPr>
              <w:t>泉域</w:t>
            </w:r>
            <w:r>
              <w:rPr>
                <w:rFonts w:hint="eastAsia" w:ascii="Times New Roman" w:hAnsi="Times New Roman" w:eastAsia="宋体" w:cs="Times New Roman"/>
                <w:color w:val="000000" w:themeColor="text1"/>
                <w:sz w:val="24"/>
                <w:szCs w:val="24"/>
                <w:lang w:eastAsia="zh-CN"/>
              </w:rPr>
              <w:t>重点保护区影响较小。</w:t>
            </w:r>
          </w:p>
          <w:p w14:paraId="32C86EC8">
            <w:pPr>
              <w:spacing w:line="360" w:lineRule="auto"/>
              <w:ind w:firstLine="480" w:firstLineChars="200"/>
              <w:jc w:val="both"/>
              <w:rPr>
                <w:rFonts w:ascii="宋体" w:hAnsi="宋体" w:eastAsia="宋体" w:cs="宋体"/>
                <w:color w:val="000000" w:themeColor="text1"/>
                <w:sz w:val="24"/>
                <w:lang w:eastAsia="zh-CN"/>
              </w:rPr>
            </w:pPr>
            <w:r>
              <w:rPr>
                <w:rFonts w:hint="eastAsia" w:ascii="宋体" w:hAnsi="宋体" w:eastAsia="宋体" w:cs="宋体"/>
                <w:color w:val="000000" w:themeColor="text1"/>
                <w:sz w:val="24"/>
                <w:lang w:eastAsia="zh-CN"/>
              </w:rPr>
              <w:t>③跟踪检测</w:t>
            </w:r>
          </w:p>
          <w:p w14:paraId="4896E218">
            <w:pPr>
              <w:spacing w:line="360" w:lineRule="auto"/>
              <w:ind w:firstLine="480" w:firstLineChars="200"/>
              <w:jc w:val="both"/>
              <w:rPr>
                <w:rFonts w:ascii="Times New Roman" w:hAnsi="Times New Roman" w:eastAsia="宋体" w:cs="Times New Roman"/>
                <w:bCs/>
                <w:color w:val="000000" w:themeColor="text1"/>
                <w:sz w:val="24"/>
                <w:lang w:eastAsia="zh-CN"/>
              </w:rPr>
            </w:pPr>
            <w:r>
              <w:rPr>
                <w:rFonts w:hint="eastAsia" w:ascii="Times New Roman" w:hAnsi="Times New Roman" w:eastAsia="宋体" w:cs="Times New Roman"/>
                <w:color w:val="000000" w:themeColor="text1"/>
                <w:sz w:val="24"/>
                <w:szCs w:val="24"/>
                <w:lang w:eastAsia="zh-CN"/>
              </w:rPr>
              <w:t>评价建议企业应在必要时进行跟踪监测。</w:t>
            </w:r>
          </w:p>
          <w:p w14:paraId="54F48B8F">
            <w:pPr>
              <w:spacing w:line="360" w:lineRule="auto"/>
              <w:ind w:firstLine="480" w:firstLineChars="200"/>
              <w:jc w:val="both"/>
              <w:rPr>
                <w:rFonts w:ascii="Times New Roman" w:hAnsi="Times New Roman" w:eastAsia="宋体" w:cs="Times New Roman"/>
                <w:bCs/>
                <w:sz w:val="24"/>
                <w:lang w:eastAsia="zh-CN"/>
              </w:rPr>
            </w:pPr>
            <w:r>
              <w:rPr>
                <w:rFonts w:hint="eastAsia" w:ascii="Times New Roman" w:hAnsi="Times New Roman" w:eastAsia="宋体" w:cs="Times New Roman"/>
                <w:color w:val="000000" w:themeColor="text1"/>
                <w:sz w:val="24"/>
                <w:szCs w:val="24"/>
                <w:lang w:eastAsia="zh-CN"/>
              </w:rPr>
              <w:t>综上所述，项目运营期在落实各种污染控制措施情况下，项目建设对地下水环境的影响可降至最低，不改变区域地下水环境质量现状。从地下水环境影响的角度，项目建设可行</w:t>
            </w:r>
            <w:r>
              <w:rPr>
                <w:rFonts w:hint="eastAsia" w:ascii="Times New Roman" w:hAnsi="Times New Roman" w:eastAsia="宋体" w:cs="Times New Roman"/>
                <w:bCs/>
                <w:sz w:val="24"/>
                <w:lang w:eastAsia="zh-CN"/>
              </w:rPr>
              <w:t>。</w:t>
            </w:r>
          </w:p>
          <w:p w14:paraId="1C553942">
            <w:pPr>
              <w:spacing w:line="360" w:lineRule="auto"/>
              <w:ind w:firstLine="480" w:firstLineChars="200"/>
              <w:jc w:val="both"/>
              <w:rPr>
                <w:rFonts w:ascii="Times New Roman" w:hAnsi="Times New Roman" w:eastAsia="宋体" w:cs="Times New Roman"/>
                <w:bCs/>
                <w:color w:val="auto"/>
                <w:sz w:val="24"/>
                <w:lang w:eastAsia="zh-CN"/>
              </w:rPr>
            </w:pPr>
            <w:r>
              <w:rPr>
                <w:rFonts w:hint="default" w:ascii="Times New Roman" w:hAnsi="Times New Roman" w:eastAsia="宋体" w:cs="Times New Roman"/>
                <w:b w:val="0"/>
                <w:bCs w:val="0"/>
                <w:color w:val="auto"/>
                <w:sz w:val="24"/>
                <w:highlight w:val="none"/>
                <w:lang w:val="en-US" w:eastAsia="zh-CN"/>
              </w:rPr>
              <w:t>4.</w:t>
            </w:r>
            <w:r>
              <w:rPr>
                <w:rFonts w:hint="eastAsia" w:ascii="Times New Roman" w:hAnsi="Times New Roman" w:eastAsia="宋体" w:cs="Times New Roman"/>
                <w:b w:val="0"/>
                <w:bCs w:val="0"/>
                <w:color w:val="auto"/>
                <w:sz w:val="24"/>
                <w:highlight w:val="none"/>
                <w:lang w:val="en-US" w:eastAsia="zh-CN"/>
              </w:rPr>
              <w:t>10.2</w:t>
            </w:r>
            <w:r>
              <w:rPr>
                <w:rFonts w:hint="eastAsia" w:ascii="Times New Roman" w:hAnsi="Times New Roman" w:eastAsia="宋体" w:cs="Times New Roman"/>
                <w:bCs/>
                <w:color w:val="auto"/>
                <w:sz w:val="24"/>
                <w:lang w:eastAsia="zh-CN"/>
              </w:rPr>
              <w:t>土壤</w:t>
            </w:r>
          </w:p>
          <w:p w14:paraId="767F72C8">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项目生产车间全封闭管理，粉尘</w:t>
            </w:r>
            <w:r>
              <w:rPr>
                <w:rFonts w:hint="eastAsia" w:ascii="Times New Roman" w:hAnsi="Times New Roman" w:eastAsia="宋体" w:cs="Times New Roman"/>
                <w:sz w:val="24"/>
                <w:szCs w:val="24"/>
                <w:lang w:val="en-US" w:eastAsia="zh-CN"/>
              </w:rPr>
              <w:t>经</w:t>
            </w:r>
            <w:r>
              <w:rPr>
                <w:rFonts w:hint="eastAsia" w:ascii="Times New Roman" w:hAnsi="Times New Roman" w:eastAsia="宋体" w:cs="Times New Roman"/>
                <w:sz w:val="24"/>
                <w:szCs w:val="24"/>
                <w:lang w:eastAsia="zh-CN"/>
              </w:rPr>
              <w:t>布袋除尘器处理</w:t>
            </w:r>
            <w:r>
              <w:rPr>
                <w:rFonts w:hint="eastAsia" w:ascii="Times New Roman" w:hAnsi="Times New Roman" w:eastAsia="宋体" w:cs="Times New Roman"/>
                <w:sz w:val="24"/>
                <w:szCs w:val="24"/>
                <w:lang w:val="en-US" w:eastAsia="zh-CN"/>
              </w:rPr>
              <w:t>后</w:t>
            </w:r>
            <w:r>
              <w:rPr>
                <w:rFonts w:hint="eastAsia" w:ascii="Times New Roman" w:hAnsi="Times New Roman" w:eastAsia="宋体" w:cs="Times New Roman"/>
                <w:sz w:val="24"/>
                <w:szCs w:val="24"/>
                <w:lang w:eastAsia="zh-CN"/>
              </w:rPr>
              <w:t>通过排气筒</w:t>
            </w:r>
            <w:r>
              <w:rPr>
                <w:rFonts w:hint="eastAsia" w:ascii="Times New Roman" w:hAnsi="Times New Roman" w:eastAsia="宋体" w:cs="Times New Roman"/>
                <w:sz w:val="24"/>
                <w:szCs w:val="24"/>
                <w:lang w:val="en-US" w:eastAsia="zh-CN"/>
              </w:rPr>
              <w:t>达标</w:t>
            </w:r>
            <w:r>
              <w:rPr>
                <w:rFonts w:hint="eastAsia" w:ascii="Times New Roman" w:hAnsi="Times New Roman" w:eastAsia="宋体" w:cs="Times New Roman"/>
                <w:sz w:val="24"/>
                <w:szCs w:val="24"/>
                <w:lang w:eastAsia="zh-CN"/>
              </w:rPr>
              <w:t>排放；项目废水不外排；危险废物暂存间按照《危险废物贮存污染控制标准》（GB18597-2023）的要求进行控制，正常情况下，不会发生泄露入渗污染土壤的现象。</w:t>
            </w:r>
          </w:p>
          <w:p w14:paraId="55B79FFA">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为减轻或避免对土壤造成不利影响，根据土壤导则评价对项目建设提出相应的控制措施，主要从源头控制、过程控制以及跟踪监测三方面来说，具体如下：</w:t>
            </w:r>
          </w:p>
          <w:p w14:paraId="3ED53095">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①源头控制：本项目污染源主要为废气、废水、固体废物，企业应加强管理，做好节能减排和清洁生产工作，一方面减少污染物产生量，另一方面降低污染物排放浓度和排放量，源强的降低可在发生泄漏时减轻对土壤的影响。</w:t>
            </w:r>
          </w:p>
          <w:p w14:paraId="669949E3">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 xml:space="preserve">②过程防控措施 </w:t>
            </w:r>
          </w:p>
          <w:p w14:paraId="244E1D03">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 xml:space="preserve">本项目主要是对生产过程中产生的废气、废水、固体废物进行治理，对废气采用相应的治理措施后，通过排气筒排放；废水不外排；危险废物临时贮存库均按照要求进行硬化、防渗等处理。按照环评要求切实落实各种污染控制措施，建成后期及运营对区域土壤环境影响较小。 </w:t>
            </w:r>
          </w:p>
          <w:p w14:paraId="549F55E0">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 xml:space="preserve">③跟踪监测 </w:t>
            </w:r>
          </w:p>
          <w:p w14:paraId="754539F5">
            <w:pPr>
              <w:spacing w:line="360" w:lineRule="auto"/>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评价建议企业应在必要时进行跟踪监测。</w:t>
            </w:r>
          </w:p>
          <w:p w14:paraId="6E484C17">
            <w:pPr>
              <w:spacing w:line="360" w:lineRule="auto"/>
              <w:ind w:firstLine="480" w:firstLineChars="200"/>
              <w:jc w:val="both"/>
              <w:rPr>
                <w:rFonts w:ascii="Times New Roman" w:hAnsi="Times New Roman" w:eastAsia="宋体" w:cs="Times New Roman"/>
                <w:color w:val="auto"/>
                <w:sz w:val="24"/>
                <w:szCs w:val="24"/>
                <w:lang w:eastAsia="zh-CN"/>
              </w:rPr>
            </w:pPr>
            <w:r>
              <w:rPr>
                <w:rFonts w:hint="eastAsia" w:ascii="Times New Roman" w:hAnsi="Times New Roman" w:eastAsia="宋体" w:cs="Times New Roman"/>
                <w:sz w:val="24"/>
                <w:szCs w:val="24"/>
                <w:lang w:eastAsia="zh-CN"/>
              </w:rPr>
              <w:t>综上所述，项目运营期在落实各种污染控制措施情况下，项目建设对土壤环境的影响可降至最低，不改变区域土壤环境质量现状。从土壤环境影响的角度，项目建设可行</w:t>
            </w:r>
            <w:r>
              <w:rPr>
                <w:rFonts w:hint="eastAsia" w:ascii="Times New Roman" w:hAnsi="Times New Roman" w:eastAsia="宋体" w:cs="Times New Roman"/>
                <w:color w:val="auto"/>
                <w:sz w:val="24"/>
                <w:szCs w:val="24"/>
                <w:lang w:eastAsia="zh-CN"/>
              </w:rPr>
              <w:t>。</w:t>
            </w:r>
          </w:p>
          <w:p w14:paraId="48207D37">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11 </w:t>
            </w:r>
            <w:r>
              <w:rPr>
                <w:rFonts w:hint="eastAsia" w:ascii="Times New Roman" w:hAnsi="Times New Roman" w:eastAsia="宋体" w:cs="Times New Roman"/>
                <w:b/>
                <w:bCs/>
                <w:color w:val="auto"/>
                <w:sz w:val="24"/>
                <w:szCs w:val="24"/>
                <w:lang w:eastAsia="zh-CN"/>
              </w:rPr>
              <w:t xml:space="preserve"> 生态</w:t>
            </w:r>
          </w:p>
          <w:p w14:paraId="77C0351D">
            <w:pPr>
              <w:spacing w:line="360" w:lineRule="auto"/>
              <w:ind w:firstLine="480" w:firstLineChars="200"/>
              <w:rPr>
                <w:rFonts w:ascii="Times New Roman" w:hAnsi="Times New Roman" w:eastAsia="宋体" w:cs="Times New Roman"/>
                <w:bCs/>
                <w:color w:val="auto"/>
                <w:sz w:val="24"/>
                <w:lang w:eastAsia="zh-CN"/>
              </w:rPr>
            </w:pPr>
            <w:r>
              <w:rPr>
                <w:rFonts w:hint="eastAsia" w:ascii="Times New Roman" w:hAnsi="Times New Roman" w:eastAsia="宋体" w:cs="Times New Roman"/>
                <w:color w:val="auto"/>
                <w:sz w:val="24"/>
                <w:szCs w:val="24"/>
                <w:lang w:val="en-US" w:eastAsia="zh-CN"/>
              </w:rPr>
              <w:t>本项目在现有工矿用地范围内建设，不新增用地</w:t>
            </w:r>
            <w:r>
              <w:rPr>
                <w:rFonts w:hint="eastAsia" w:ascii="Times New Roman" w:hAnsi="Times New Roman" w:eastAsia="宋体" w:cs="Times New Roman"/>
                <w:color w:val="auto"/>
                <w:sz w:val="24"/>
                <w:szCs w:val="24"/>
                <w:lang w:eastAsia="zh-CN"/>
              </w:rPr>
              <w:t>，可不</w:t>
            </w:r>
            <w:r>
              <w:rPr>
                <w:rFonts w:hint="eastAsia" w:ascii="Times New Roman" w:hAnsi="Times New Roman" w:eastAsia="宋体" w:cs="Times New Roman"/>
                <w:color w:val="auto"/>
                <w:sz w:val="24"/>
                <w:szCs w:val="24"/>
                <w:lang w:val="en-US" w:eastAsia="zh-CN"/>
              </w:rPr>
              <w:t>进行</w:t>
            </w:r>
            <w:r>
              <w:rPr>
                <w:rFonts w:hint="eastAsia" w:ascii="Times New Roman" w:hAnsi="Times New Roman" w:eastAsia="宋体" w:cs="Times New Roman"/>
                <w:color w:val="auto"/>
                <w:sz w:val="24"/>
                <w:szCs w:val="24"/>
                <w:lang w:eastAsia="zh-CN"/>
              </w:rPr>
              <w:t>生态环境</w:t>
            </w:r>
            <w:r>
              <w:rPr>
                <w:rFonts w:hint="eastAsia" w:ascii="Times New Roman" w:hAnsi="Times New Roman" w:eastAsia="宋体" w:cs="Times New Roman"/>
                <w:color w:val="auto"/>
                <w:sz w:val="24"/>
                <w:szCs w:val="24"/>
                <w:lang w:val="en-US" w:eastAsia="zh-CN"/>
              </w:rPr>
              <w:t>影响</w:t>
            </w:r>
            <w:r>
              <w:rPr>
                <w:rFonts w:hint="eastAsia" w:ascii="Times New Roman" w:hAnsi="Times New Roman" w:eastAsia="宋体" w:cs="Times New Roman"/>
                <w:color w:val="auto"/>
                <w:sz w:val="24"/>
                <w:szCs w:val="24"/>
                <w:lang w:eastAsia="zh-CN"/>
              </w:rPr>
              <w:t>评价。</w:t>
            </w:r>
          </w:p>
          <w:p w14:paraId="04F06AA9">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12 </w:t>
            </w:r>
            <w:r>
              <w:rPr>
                <w:rFonts w:hint="eastAsia" w:ascii="Times New Roman" w:hAnsi="Times New Roman" w:eastAsia="宋体" w:cs="Times New Roman"/>
                <w:b/>
                <w:bCs/>
                <w:color w:val="auto"/>
                <w:sz w:val="24"/>
                <w:szCs w:val="24"/>
                <w:lang w:eastAsia="zh-CN"/>
              </w:rPr>
              <w:t xml:space="preserve"> </w:t>
            </w:r>
            <w:r>
              <w:rPr>
                <w:rFonts w:hint="eastAsia" w:ascii="Times New Roman" w:hAnsi="Times New Roman" w:eastAsia="宋体" w:cs="Times New Roman"/>
                <w:b/>
                <w:bCs/>
                <w:color w:val="auto"/>
                <w:sz w:val="24"/>
                <w:szCs w:val="24"/>
                <w:lang w:val="en-US" w:eastAsia="zh-CN"/>
              </w:rPr>
              <w:t xml:space="preserve">监测计划 </w:t>
            </w:r>
          </w:p>
          <w:p w14:paraId="2E9D0752">
            <w:pPr>
              <w:spacing w:line="360" w:lineRule="auto"/>
              <w:ind w:firstLine="480" w:firstLineChars="200"/>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lang w:eastAsia="zh-CN"/>
              </w:rPr>
              <w:t>参照《排污单位自行监测技术指南-总则》（HJ819-2017）和该项目的污染源及污染物排放特点，提出以下监测计划，监测点位、监测项目、监测频次见下表。</w:t>
            </w:r>
          </w:p>
          <w:p w14:paraId="48A3C45A">
            <w:pPr>
              <w:ind w:firstLine="422" w:firstLineChars="200"/>
              <w:jc w:val="center"/>
              <w:rPr>
                <w:rFonts w:hint="default" w:ascii="Times New Roman" w:hAnsi="Times New Roman" w:eastAsia="宋体" w:cs="Times New Roman"/>
                <w:b/>
                <w:bCs w:val="0"/>
                <w:color w:val="000000" w:themeColor="text1"/>
                <w:sz w:val="21"/>
                <w:szCs w:val="21"/>
                <w:highlight w:val="none"/>
                <w:lang w:eastAsia="zh-CN"/>
              </w:rPr>
            </w:pPr>
            <w:r>
              <w:rPr>
                <w:rFonts w:hint="default" w:ascii="Times New Roman" w:hAnsi="Times New Roman" w:eastAsia="宋体" w:cs="Times New Roman"/>
                <w:b/>
                <w:bCs w:val="0"/>
                <w:color w:val="000000" w:themeColor="text1"/>
                <w:sz w:val="21"/>
                <w:szCs w:val="21"/>
                <w:highlight w:val="none"/>
                <w:lang w:eastAsia="zh-CN"/>
              </w:rPr>
              <w:t>表</w:t>
            </w:r>
            <w:r>
              <w:rPr>
                <w:rFonts w:hint="eastAsia" w:ascii="Times New Roman" w:hAnsi="Times New Roman" w:eastAsia="宋体" w:cs="Times New Roman"/>
                <w:b/>
                <w:bCs w:val="0"/>
                <w:color w:val="000000" w:themeColor="text1"/>
                <w:sz w:val="21"/>
                <w:szCs w:val="21"/>
                <w:highlight w:val="none"/>
                <w:lang w:val="en-US" w:eastAsia="zh-CN"/>
              </w:rPr>
              <w:t>4.12-1</w:t>
            </w:r>
            <w:r>
              <w:rPr>
                <w:rFonts w:hint="default" w:ascii="Times New Roman" w:hAnsi="Times New Roman" w:eastAsia="宋体" w:cs="Times New Roman"/>
                <w:b/>
                <w:bCs w:val="0"/>
                <w:color w:val="000000" w:themeColor="text1"/>
                <w:sz w:val="21"/>
                <w:szCs w:val="21"/>
                <w:highlight w:val="none"/>
                <w:lang w:eastAsia="zh-CN"/>
              </w:rPr>
              <w:t xml:space="preserve"> 项目监测计划表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2366"/>
              <w:gridCol w:w="760"/>
              <w:gridCol w:w="2401"/>
              <w:gridCol w:w="1928"/>
            </w:tblGrid>
            <w:tr w14:paraId="13736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noWrap w:val="0"/>
                  <w:vAlign w:val="center"/>
                </w:tcPr>
                <w:p w14:paraId="647DFFE1">
                  <w:pPr>
                    <w:pStyle w:val="12"/>
                    <w:ind w:left="0" w:leftChars="0" w:firstLine="0" w:firstLineChars="0"/>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类别</w:t>
                  </w:r>
                </w:p>
              </w:tc>
              <w:tc>
                <w:tcPr>
                  <w:tcW w:w="2366" w:type="dxa"/>
                  <w:noWrap w:val="0"/>
                  <w:vAlign w:val="center"/>
                </w:tcPr>
                <w:p w14:paraId="3341ED34">
                  <w:pPr>
                    <w:pStyle w:val="12"/>
                    <w:ind w:left="0" w:leftChars="0" w:firstLine="0" w:firstLineChars="0"/>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监测点位</w:t>
                  </w:r>
                </w:p>
              </w:tc>
              <w:tc>
                <w:tcPr>
                  <w:tcW w:w="760" w:type="dxa"/>
                  <w:noWrap w:val="0"/>
                  <w:vAlign w:val="center"/>
                </w:tcPr>
                <w:p w14:paraId="11318627">
                  <w:pPr>
                    <w:pStyle w:val="12"/>
                    <w:ind w:left="0" w:leftChars="0" w:firstLine="0" w:firstLineChars="0"/>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点数</w:t>
                  </w:r>
                </w:p>
              </w:tc>
              <w:tc>
                <w:tcPr>
                  <w:tcW w:w="2401" w:type="dxa"/>
                  <w:noWrap w:val="0"/>
                  <w:vAlign w:val="center"/>
                </w:tcPr>
                <w:p w14:paraId="39B9BBB5">
                  <w:pPr>
                    <w:pStyle w:val="12"/>
                    <w:ind w:left="0" w:leftChars="0" w:firstLine="0" w:firstLineChars="0"/>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监测项目</w:t>
                  </w:r>
                </w:p>
              </w:tc>
              <w:tc>
                <w:tcPr>
                  <w:tcW w:w="1928" w:type="dxa"/>
                  <w:noWrap w:val="0"/>
                  <w:vAlign w:val="center"/>
                </w:tcPr>
                <w:p w14:paraId="7847DF5C">
                  <w:pPr>
                    <w:pStyle w:val="12"/>
                    <w:ind w:left="0" w:leftChars="0" w:firstLine="0" w:firstLineChars="0"/>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监测频率</w:t>
                  </w:r>
                </w:p>
              </w:tc>
            </w:tr>
            <w:tr w14:paraId="198B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Merge w:val="restart"/>
                  <w:noWrap w:val="0"/>
                  <w:vAlign w:val="center"/>
                </w:tcPr>
                <w:p w14:paraId="6144EAE4">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废气</w:t>
                  </w:r>
                </w:p>
              </w:tc>
              <w:tc>
                <w:tcPr>
                  <w:tcW w:w="2366" w:type="dxa"/>
                  <w:noWrap w:val="0"/>
                  <w:vAlign w:val="center"/>
                </w:tcPr>
                <w:p w14:paraId="07E4B847">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auto"/>
                      <w:sz w:val="20"/>
                      <w:szCs w:val="20"/>
                      <w:highlight w:val="none"/>
                      <w:lang w:val="en-US" w:eastAsia="zh-CN"/>
                    </w:rPr>
                    <w:t>上料+破碎+筒仓</w:t>
                  </w:r>
                  <w:r>
                    <w:rPr>
                      <w:rFonts w:hint="eastAsia" w:ascii="Times New Roman" w:hAnsi="Times New Roman" w:eastAsia="宋体" w:cs="Times New Roman"/>
                      <w:color w:val="000000" w:themeColor="text1"/>
                      <w:sz w:val="21"/>
                      <w:szCs w:val="21"/>
                      <w:lang w:val="en-US" w:eastAsia="zh-CN"/>
                    </w:rPr>
                    <w:t>除尘器</w:t>
                  </w:r>
                  <w:r>
                    <w:rPr>
                      <w:rFonts w:hint="default" w:ascii="Times New Roman" w:hAnsi="Times New Roman" w:eastAsia="宋体" w:cs="Times New Roman"/>
                      <w:color w:val="000000" w:themeColor="text1"/>
                      <w:sz w:val="21"/>
                      <w:szCs w:val="21"/>
                    </w:rPr>
                    <w:t>排气筒</w:t>
                  </w:r>
                </w:p>
              </w:tc>
              <w:tc>
                <w:tcPr>
                  <w:tcW w:w="760" w:type="dxa"/>
                  <w:noWrap w:val="0"/>
                  <w:vAlign w:val="center"/>
                </w:tcPr>
                <w:p w14:paraId="41174185">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1</w:t>
                  </w:r>
                  <w:r>
                    <w:rPr>
                      <w:rFonts w:hint="default" w:ascii="Times New Roman" w:hAnsi="Times New Roman" w:eastAsia="宋体" w:cs="Times New Roman"/>
                      <w:color w:val="000000" w:themeColor="text1"/>
                      <w:sz w:val="21"/>
                      <w:szCs w:val="21"/>
                    </w:rPr>
                    <w:t>个</w:t>
                  </w:r>
                </w:p>
              </w:tc>
              <w:tc>
                <w:tcPr>
                  <w:tcW w:w="2401" w:type="dxa"/>
                  <w:noWrap w:val="0"/>
                  <w:vAlign w:val="center"/>
                </w:tcPr>
                <w:p w14:paraId="5264D4E5">
                  <w:pPr>
                    <w:jc w:val="center"/>
                    <w:rPr>
                      <w:rFonts w:hint="default" w:ascii="Times New Roman" w:hAnsi="Times New Roman" w:eastAsia="宋体" w:cs="Times New Roman"/>
                      <w:color w:val="000000" w:themeColor="text1"/>
                      <w:spacing w:val="-16"/>
                      <w:sz w:val="21"/>
                      <w:szCs w:val="21"/>
                    </w:rPr>
                  </w:pPr>
                  <w:r>
                    <w:rPr>
                      <w:rFonts w:hint="default" w:ascii="Times New Roman" w:hAnsi="Times New Roman" w:eastAsia="宋体" w:cs="Times New Roman"/>
                      <w:color w:val="000000" w:themeColor="text1"/>
                      <w:sz w:val="21"/>
                      <w:szCs w:val="21"/>
                    </w:rPr>
                    <w:t>颗粒物</w:t>
                  </w:r>
                </w:p>
              </w:tc>
              <w:tc>
                <w:tcPr>
                  <w:tcW w:w="1928" w:type="dxa"/>
                  <w:noWrap w:val="0"/>
                  <w:vAlign w:val="center"/>
                </w:tcPr>
                <w:p w14:paraId="48D13455">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生产期1次/年</w:t>
                  </w:r>
                </w:p>
              </w:tc>
            </w:tr>
            <w:tr w14:paraId="09DCA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Merge w:val="continue"/>
                  <w:noWrap w:val="0"/>
                  <w:vAlign w:val="center"/>
                </w:tcPr>
                <w:p w14:paraId="53906AD2">
                  <w:pPr>
                    <w:pStyle w:val="12"/>
                    <w:ind w:left="0" w:leftChars="0" w:firstLine="0" w:firstLineChars="0"/>
                    <w:jc w:val="center"/>
                    <w:rPr>
                      <w:rFonts w:hint="default" w:ascii="Times New Roman" w:hAnsi="Times New Roman" w:eastAsia="宋体" w:cs="Times New Roman"/>
                      <w:color w:val="000000" w:themeColor="text1"/>
                      <w:sz w:val="21"/>
                      <w:szCs w:val="21"/>
                    </w:rPr>
                  </w:pPr>
                </w:p>
              </w:tc>
              <w:tc>
                <w:tcPr>
                  <w:tcW w:w="2366" w:type="dxa"/>
                  <w:noWrap w:val="0"/>
                  <w:vAlign w:val="center"/>
                </w:tcPr>
                <w:p w14:paraId="6F022A3D">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厂界</w:t>
                  </w:r>
                </w:p>
              </w:tc>
              <w:tc>
                <w:tcPr>
                  <w:tcW w:w="760" w:type="dxa"/>
                  <w:noWrap w:val="0"/>
                  <w:vAlign w:val="center"/>
                </w:tcPr>
                <w:p w14:paraId="63206C5E">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4个</w:t>
                  </w:r>
                </w:p>
              </w:tc>
              <w:tc>
                <w:tcPr>
                  <w:tcW w:w="2401" w:type="dxa"/>
                  <w:noWrap w:val="0"/>
                  <w:vAlign w:val="center"/>
                </w:tcPr>
                <w:p w14:paraId="23DD7429">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颗粒物</w:t>
                  </w:r>
                </w:p>
              </w:tc>
              <w:tc>
                <w:tcPr>
                  <w:tcW w:w="1928" w:type="dxa"/>
                  <w:noWrap w:val="0"/>
                  <w:vAlign w:val="center"/>
                </w:tcPr>
                <w:p w14:paraId="0A56DC04">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生产期1次/年</w:t>
                  </w:r>
                </w:p>
              </w:tc>
            </w:tr>
            <w:tr w14:paraId="42841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noWrap w:val="0"/>
                  <w:vAlign w:val="center"/>
                </w:tcPr>
                <w:p w14:paraId="267F0AB1">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噪声</w:t>
                  </w:r>
                </w:p>
              </w:tc>
              <w:tc>
                <w:tcPr>
                  <w:tcW w:w="2366" w:type="dxa"/>
                  <w:noWrap w:val="0"/>
                  <w:vAlign w:val="center"/>
                </w:tcPr>
                <w:p w14:paraId="108CC70F">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厂界四周外1m</w:t>
                  </w:r>
                </w:p>
              </w:tc>
              <w:tc>
                <w:tcPr>
                  <w:tcW w:w="760" w:type="dxa"/>
                  <w:noWrap w:val="0"/>
                  <w:vAlign w:val="center"/>
                </w:tcPr>
                <w:p w14:paraId="6E240B31">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4个</w:t>
                  </w:r>
                </w:p>
              </w:tc>
              <w:tc>
                <w:tcPr>
                  <w:tcW w:w="2401" w:type="dxa"/>
                  <w:noWrap w:val="0"/>
                  <w:vAlign w:val="center"/>
                </w:tcPr>
                <w:p w14:paraId="059E3270">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等效连续A声级（Leq）</w:t>
                  </w:r>
                </w:p>
              </w:tc>
              <w:tc>
                <w:tcPr>
                  <w:tcW w:w="1928" w:type="dxa"/>
                  <w:noWrap w:val="0"/>
                  <w:vAlign w:val="center"/>
                </w:tcPr>
                <w:p w14:paraId="36B5186A">
                  <w:pPr>
                    <w:pStyle w:val="12"/>
                    <w:ind w:left="0" w:leftChars="0" w:firstLine="0" w:firstLine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生产期1次/季</w:t>
                  </w:r>
                </w:p>
              </w:tc>
            </w:tr>
          </w:tbl>
          <w:p w14:paraId="29A91EEE">
            <w:pPr>
              <w:spacing w:line="360" w:lineRule="auto"/>
              <w:ind w:firstLine="482" w:firstLineChars="200"/>
              <w:jc w:val="both"/>
              <w:rPr>
                <w:rFonts w:ascii="Times New Roman" w:hAnsi="Times New Roman" w:eastAsia="宋体" w:cs="Times New Roman"/>
                <w:color w:val="auto"/>
                <w:sz w:val="24"/>
                <w:szCs w:val="24"/>
                <w:lang w:eastAsia="zh-CN"/>
              </w:rPr>
            </w:pPr>
            <w:r>
              <w:rPr>
                <w:rFonts w:hint="default"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13 </w:t>
            </w:r>
            <w:r>
              <w:rPr>
                <w:rFonts w:hint="eastAsia" w:ascii="Times New Roman" w:hAnsi="Times New Roman" w:eastAsia="宋体" w:cs="Times New Roman"/>
                <w:b/>
                <w:bCs/>
                <w:color w:val="auto"/>
                <w:sz w:val="24"/>
                <w:szCs w:val="24"/>
                <w:lang w:eastAsia="zh-CN"/>
              </w:rPr>
              <w:t xml:space="preserve"> 环保投资</w:t>
            </w:r>
          </w:p>
          <w:p w14:paraId="3B660B5E">
            <w:pPr>
              <w:spacing w:line="360" w:lineRule="auto"/>
              <w:ind w:firstLine="496" w:firstLineChars="200"/>
              <w:jc w:val="both"/>
              <w:rPr>
                <w:rFonts w:ascii="Times New Roman" w:hAnsi="Times New Roman" w:eastAsia="宋体" w:cs="Times New Roman"/>
                <w:bCs/>
                <w:color w:val="auto"/>
                <w:spacing w:val="4"/>
                <w:sz w:val="24"/>
                <w:lang w:val="zh-CN" w:eastAsia="zh-CN"/>
              </w:rPr>
            </w:pPr>
            <w:r>
              <w:rPr>
                <w:rFonts w:ascii="Times New Roman" w:hAnsi="Times New Roman" w:eastAsia="宋体" w:cs="Times New Roman"/>
                <w:bCs/>
                <w:color w:val="auto"/>
                <w:spacing w:val="4"/>
                <w:sz w:val="24"/>
                <w:lang w:val="zh-CN" w:eastAsia="zh-CN"/>
              </w:rPr>
              <w:t>项目总投资</w:t>
            </w:r>
            <w:r>
              <w:rPr>
                <w:rFonts w:hint="eastAsia" w:ascii="Times New Roman" w:hAnsi="Times New Roman" w:eastAsia="宋体" w:cs="Times New Roman"/>
                <w:color w:val="auto"/>
                <w:sz w:val="24"/>
                <w:szCs w:val="24"/>
                <w:highlight w:val="none"/>
                <w:lang w:val="en-US" w:eastAsia="zh-CN"/>
              </w:rPr>
              <w:t>200</w:t>
            </w:r>
            <w:r>
              <w:rPr>
                <w:rFonts w:ascii="Times New Roman" w:hAnsi="Times New Roman" w:eastAsia="宋体" w:cs="Times New Roman"/>
                <w:bCs/>
                <w:color w:val="auto"/>
                <w:spacing w:val="4"/>
                <w:sz w:val="24"/>
                <w:lang w:eastAsia="zh-CN"/>
              </w:rPr>
              <w:t>万元</w:t>
            </w:r>
            <w:r>
              <w:rPr>
                <w:rFonts w:ascii="Times New Roman" w:hAnsi="Times New Roman" w:eastAsia="宋体" w:cs="Times New Roman"/>
                <w:bCs/>
                <w:color w:val="auto"/>
                <w:spacing w:val="4"/>
                <w:sz w:val="24"/>
                <w:lang w:val="zh-CN" w:eastAsia="zh-CN"/>
              </w:rPr>
              <w:t>，环保投资为</w:t>
            </w:r>
            <w:r>
              <w:rPr>
                <w:rStyle w:val="39"/>
                <w:rFonts w:hint="eastAsia" w:ascii="Times New Roman" w:hAnsi="Times New Roman" w:eastAsia="宋体" w:cs="Times New Roman"/>
                <w:color w:val="auto"/>
                <w:sz w:val="24"/>
                <w:szCs w:val="24"/>
                <w:lang w:val="en-US" w:eastAsia="zh-CN"/>
              </w:rPr>
              <w:t>25</w:t>
            </w:r>
            <w:r>
              <w:rPr>
                <w:rStyle w:val="39"/>
                <w:rFonts w:ascii="Times New Roman" w:hAnsi="Times New Roman" w:eastAsia="宋体" w:cs="Times New Roman"/>
                <w:color w:val="auto"/>
                <w:sz w:val="24"/>
                <w:szCs w:val="24"/>
                <w:lang w:eastAsia="zh-CN"/>
              </w:rPr>
              <w:t>万元</w:t>
            </w:r>
            <w:r>
              <w:rPr>
                <w:rFonts w:ascii="Times New Roman" w:hAnsi="Times New Roman" w:eastAsia="宋体" w:cs="Times New Roman"/>
                <w:bCs/>
                <w:color w:val="auto"/>
                <w:spacing w:val="4"/>
                <w:sz w:val="24"/>
                <w:lang w:val="zh-CN" w:eastAsia="zh-CN"/>
              </w:rPr>
              <w:t>，占总投资的</w:t>
            </w:r>
            <w:r>
              <w:rPr>
                <w:rFonts w:hint="eastAsia" w:ascii="Times New Roman" w:hAnsi="Times New Roman" w:eastAsia="宋体" w:cs="Times New Roman"/>
                <w:bCs/>
                <w:color w:val="auto"/>
                <w:spacing w:val="4"/>
                <w:sz w:val="24"/>
                <w:lang w:val="en-US" w:eastAsia="zh-CN"/>
              </w:rPr>
              <w:t>12.5</w:t>
            </w:r>
            <w:r>
              <w:rPr>
                <w:rFonts w:ascii="Times New Roman" w:hAnsi="Times New Roman" w:eastAsia="宋体" w:cs="Times New Roman"/>
                <w:bCs/>
                <w:color w:val="auto"/>
                <w:spacing w:val="4"/>
                <w:sz w:val="24"/>
                <w:lang w:eastAsia="zh-CN"/>
              </w:rPr>
              <w:t>%</w:t>
            </w:r>
            <w:r>
              <w:rPr>
                <w:rFonts w:ascii="Times New Roman" w:hAnsi="Times New Roman" w:eastAsia="宋体" w:cs="Times New Roman"/>
                <w:bCs/>
                <w:color w:val="auto"/>
                <w:spacing w:val="4"/>
                <w:sz w:val="24"/>
                <w:lang w:val="zh-CN" w:eastAsia="zh-CN"/>
              </w:rPr>
              <w:t>。</w:t>
            </w:r>
          </w:p>
          <w:p w14:paraId="736DAF79">
            <w:pPr>
              <w:adjustRightInd w:val="0"/>
              <w:jc w:val="center"/>
              <w:rPr>
                <w:rFonts w:ascii="Times New Roman" w:hAnsi="Times New Roman" w:eastAsia="宋体" w:cs="Times New Roman"/>
                <w:b/>
                <w:color w:val="auto"/>
                <w:sz w:val="21"/>
                <w:szCs w:val="21"/>
                <w:lang w:eastAsia="zh-CN"/>
              </w:rPr>
            </w:pPr>
          </w:p>
          <w:p w14:paraId="6F4871C5">
            <w:pPr>
              <w:adjustRightInd w:val="0"/>
              <w:jc w:val="center"/>
              <w:rPr>
                <w:rFonts w:ascii="Times New Roman" w:hAnsi="Times New Roman" w:eastAsia="宋体" w:cs="Times New Roman"/>
                <w:b/>
                <w:color w:val="auto"/>
                <w:sz w:val="21"/>
                <w:szCs w:val="21"/>
                <w:lang w:eastAsia="zh-CN"/>
              </w:rPr>
            </w:pPr>
          </w:p>
          <w:p w14:paraId="428DA82D">
            <w:pPr>
              <w:adjustRightInd w:val="0"/>
              <w:jc w:val="center"/>
              <w:rPr>
                <w:rFonts w:ascii="Times New Roman" w:hAnsi="Times New Roman" w:eastAsia="宋体" w:cs="Times New Roman"/>
                <w:b/>
                <w:color w:val="auto"/>
                <w:sz w:val="21"/>
                <w:szCs w:val="21"/>
                <w:lang w:eastAsia="zh-CN"/>
              </w:rPr>
            </w:pPr>
          </w:p>
          <w:p w14:paraId="234829CC">
            <w:pPr>
              <w:adjustRightInd w:val="0"/>
              <w:jc w:val="center"/>
              <w:rPr>
                <w:rFonts w:ascii="Times New Roman" w:hAnsi="Times New Roman" w:eastAsia="宋体" w:cs="Times New Roman"/>
                <w:b/>
                <w:color w:val="auto"/>
                <w:sz w:val="21"/>
                <w:szCs w:val="21"/>
                <w:lang w:eastAsia="zh-CN"/>
              </w:rPr>
            </w:pPr>
          </w:p>
          <w:p w14:paraId="421EE91D">
            <w:pPr>
              <w:adjustRightInd w:val="0"/>
              <w:jc w:val="center"/>
              <w:rPr>
                <w:rFonts w:ascii="Times New Roman" w:hAnsi="Times New Roman" w:eastAsia="宋体" w:cs="Times New Roman"/>
                <w:b/>
                <w:color w:val="auto"/>
                <w:sz w:val="21"/>
                <w:szCs w:val="21"/>
                <w:lang w:eastAsia="zh-CN"/>
              </w:rPr>
            </w:pPr>
          </w:p>
          <w:p w14:paraId="13C06A26">
            <w:pPr>
              <w:adjustRightInd w:val="0"/>
              <w:jc w:val="center"/>
              <w:rPr>
                <w:rFonts w:ascii="Times New Roman" w:hAnsi="Times New Roman" w:eastAsia="宋体" w:cs="Times New Roman"/>
                <w:b/>
                <w:color w:val="auto"/>
                <w:sz w:val="21"/>
                <w:szCs w:val="21"/>
                <w:lang w:eastAsia="zh-CN"/>
              </w:rPr>
            </w:pPr>
          </w:p>
          <w:p w14:paraId="630B060B">
            <w:pPr>
              <w:adjustRightInd w:val="0"/>
              <w:jc w:val="center"/>
              <w:rPr>
                <w:rFonts w:ascii="Times New Roman" w:hAnsi="Times New Roman" w:eastAsia="宋体" w:cs="Times New Roman"/>
                <w:b/>
                <w:color w:val="auto"/>
                <w:sz w:val="21"/>
                <w:szCs w:val="21"/>
                <w:lang w:eastAsia="zh-CN"/>
              </w:rPr>
            </w:pPr>
          </w:p>
          <w:p w14:paraId="6484BB9B">
            <w:pPr>
              <w:adjustRightInd w:val="0"/>
              <w:jc w:val="center"/>
              <w:rPr>
                <w:rFonts w:ascii="Times New Roman" w:hAnsi="Times New Roman" w:eastAsia="宋体" w:cs="Times New Roman"/>
                <w:b/>
                <w:color w:val="auto"/>
                <w:sz w:val="21"/>
                <w:szCs w:val="21"/>
                <w:lang w:eastAsia="zh-CN"/>
              </w:rPr>
            </w:pPr>
          </w:p>
          <w:p w14:paraId="25DF9ECD">
            <w:pPr>
              <w:adjustRightInd w:val="0"/>
              <w:jc w:val="center"/>
              <w:rPr>
                <w:rFonts w:ascii="Times New Roman" w:hAnsi="Times New Roman" w:eastAsia="宋体" w:cs="Times New Roman"/>
                <w:b/>
                <w:color w:val="auto"/>
                <w:sz w:val="21"/>
                <w:szCs w:val="21"/>
                <w:lang w:eastAsia="zh-CN"/>
              </w:rPr>
            </w:pPr>
          </w:p>
          <w:p w14:paraId="04D4208D">
            <w:pPr>
              <w:adjustRightInd w:val="0"/>
              <w:jc w:val="center"/>
              <w:rPr>
                <w:rFonts w:ascii="Times New Roman" w:hAnsi="Times New Roman" w:eastAsia="宋体" w:cs="Times New Roman"/>
                <w:b/>
                <w:color w:val="auto"/>
                <w:sz w:val="21"/>
                <w:szCs w:val="21"/>
                <w:lang w:eastAsia="zh-CN"/>
              </w:rPr>
            </w:pPr>
          </w:p>
          <w:p w14:paraId="3D053370">
            <w:pPr>
              <w:adjustRightInd w:val="0"/>
              <w:jc w:val="center"/>
              <w:rPr>
                <w:rFonts w:ascii="Times New Roman" w:hAnsi="Times New Roman" w:eastAsia="宋体" w:cs="Times New Roman"/>
                <w:b/>
                <w:color w:val="auto"/>
                <w:sz w:val="21"/>
                <w:szCs w:val="21"/>
                <w:lang w:eastAsia="zh-CN"/>
              </w:rPr>
            </w:pPr>
          </w:p>
          <w:p w14:paraId="09FA8DD9">
            <w:pPr>
              <w:adjustRightInd w:val="0"/>
              <w:jc w:val="center"/>
              <w:rPr>
                <w:rFonts w:ascii="Times New Roman" w:hAnsi="Times New Roman" w:eastAsia="宋体" w:cs="Times New Roman"/>
                <w:b/>
                <w:color w:val="auto"/>
                <w:sz w:val="21"/>
                <w:szCs w:val="21"/>
                <w:lang w:eastAsia="zh-CN"/>
              </w:rPr>
            </w:pPr>
          </w:p>
          <w:p w14:paraId="69D130E3">
            <w:pPr>
              <w:adjustRightInd w:val="0"/>
              <w:jc w:val="center"/>
              <w:rPr>
                <w:rFonts w:ascii="Times New Roman" w:hAnsi="Times New Roman" w:eastAsia="宋体" w:cs="Times New Roman"/>
                <w:b/>
                <w:color w:val="auto"/>
                <w:sz w:val="21"/>
                <w:szCs w:val="21"/>
                <w:lang w:eastAsia="zh-CN"/>
              </w:rPr>
            </w:pPr>
          </w:p>
          <w:p w14:paraId="60BC4FF3">
            <w:pPr>
              <w:adjustRightInd w:val="0"/>
              <w:jc w:val="center"/>
              <w:rPr>
                <w:rFonts w:ascii="Times New Roman" w:hAnsi="Times New Roman" w:eastAsia="宋体" w:cs="Times New Roman"/>
                <w:b/>
                <w:color w:val="auto"/>
                <w:sz w:val="21"/>
                <w:szCs w:val="21"/>
                <w:lang w:eastAsia="zh-CN"/>
              </w:rPr>
            </w:pPr>
          </w:p>
          <w:p w14:paraId="27E37837">
            <w:pPr>
              <w:adjustRightInd w:val="0"/>
              <w:jc w:val="center"/>
              <w:rPr>
                <w:rFonts w:ascii="Times New Roman" w:hAnsi="Times New Roman" w:eastAsia="宋体" w:cs="Times New Roman"/>
                <w:b/>
                <w:color w:val="auto"/>
                <w:sz w:val="21"/>
                <w:szCs w:val="21"/>
                <w:lang w:eastAsia="zh-CN"/>
              </w:rPr>
            </w:pPr>
          </w:p>
          <w:p w14:paraId="296B71B2">
            <w:pPr>
              <w:adjustRightInd w:val="0"/>
              <w:jc w:val="center"/>
              <w:rPr>
                <w:rFonts w:ascii="Times New Roman" w:hAnsi="Times New Roman" w:eastAsia="宋体" w:cs="Times New Roman"/>
                <w:b/>
                <w:color w:val="auto"/>
                <w:sz w:val="21"/>
                <w:szCs w:val="21"/>
                <w:lang w:eastAsia="zh-CN"/>
              </w:rPr>
            </w:pPr>
          </w:p>
          <w:p w14:paraId="1036EE0A">
            <w:pPr>
              <w:adjustRightInd w:val="0"/>
              <w:jc w:val="center"/>
              <w:rPr>
                <w:rFonts w:ascii="Times New Roman" w:hAnsi="Times New Roman" w:eastAsia="宋体" w:cs="Times New Roman"/>
                <w:b/>
                <w:color w:val="auto"/>
                <w:sz w:val="21"/>
                <w:szCs w:val="21"/>
                <w:lang w:eastAsia="zh-CN"/>
              </w:rPr>
            </w:pPr>
          </w:p>
          <w:p w14:paraId="0089B7CD">
            <w:pPr>
              <w:adjustRightInd w:val="0"/>
              <w:jc w:val="center"/>
              <w:rPr>
                <w:rFonts w:ascii="Times New Roman" w:hAnsi="Times New Roman" w:eastAsia="宋体" w:cs="Times New Roman"/>
                <w:b/>
                <w:color w:val="auto"/>
                <w:sz w:val="21"/>
                <w:szCs w:val="21"/>
                <w:lang w:eastAsia="zh-CN"/>
              </w:rPr>
            </w:pPr>
          </w:p>
          <w:p w14:paraId="414841B3">
            <w:pPr>
              <w:adjustRightInd w:val="0"/>
              <w:jc w:val="center"/>
              <w:rPr>
                <w:rFonts w:ascii="Times New Roman" w:hAnsi="Times New Roman" w:eastAsia="宋体" w:cs="Times New Roman"/>
                <w:b/>
                <w:color w:val="auto"/>
                <w:sz w:val="21"/>
                <w:szCs w:val="21"/>
                <w:lang w:eastAsia="zh-CN"/>
              </w:rPr>
            </w:pPr>
            <w:r>
              <w:rPr>
                <w:rFonts w:ascii="Times New Roman" w:hAnsi="Times New Roman" w:eastAsia="宋体" w:cs="Times New Roman"/>
                <w:b/>
                <w:color w:val="auto"/>
                <w:sz w:val="21"/>
                <w:szCs w:val="21"/>
                <w:lang w:eastAsia="zh-CN"/>
              </w:rPr>
              <w:t>表</w:t>
            </w:r>
            <w:r>
              <w:rPr>
                <w:rFonts w:hint="eastAsia" w:ascii="Times New Roman" w:hAnsi="Times New Roman" w:eastAsia="宋体" w:cs="Times New Roman"/>
                <w:b/>
                <w:color w:val="auto"/>
                <w:sz w:val="21"/>
                <w:szCs w:val="21"/>
                <w:lang w:eastAsia="zh-CN"/>
              </w:rPr>
              <w:t>4</w:t>
            </w:r>
            <w:r>
              <w:rPr>
                <w:rFonts w:hint="eastAsia" w:ascii="Times New Roman" w:hAnsi="Times New Roman" w:eastAsia="宋体" w:cs="Times New Roman"/>
                <w:b/>
                <w:color w:val="auto"/>
                <w:sz w:val="21"/>
                <w:szCs w:val="21"/>
                <w:lang w:val="en-US" w:eastAsia="zh-CN"/>
              </w:rPr>
              <w:t>.13</w:t>
            </w:r>
            <w:r>
              <w:rPr>
                <w:rFonts w:hint="eastAsia" w:ascii="Times New Roman" w:hAnsi="Times New Roman" w:eastAsia="宋体" w:cs="Times New Roman"/>
                <w:b/>
                <w:color w:val="auto"/>
                <w:sz w:val="21"/>
                <w:szCs w:val="21"/>
                <w:lang w:eastAsia="zh-CN"/>
              </w:rPr>
              <w:t>-</w:t>
            </w:r>
            <w:r>
              <w:rPr>
                <w:rFonts w:hint="eastAsia" w:ascii="Times New Roman" w:hAnsi="Times New Roman" w:eastAsia="宋体" w:cs="Times New Roman"/>
                <w:b/>
                <w:color w:val="auto"/>
                <w:sz w:val="21"/>
                <w:szCs w:val="21"/>
                <w:lang w:val="en-US" w:eastAsia="zh-CN"/>
              </w:rPr>
              <w:t xml:space="preserve">1   </w:t>
            </w:r>
            <w:r>
              <w:rPr>
                <w:rFonts w:ascii="Times New Roman" w:hAnsi="Times New Roman" w:eastAsia="宋体" w:cs="Times New Roman"/>
                <w:b/>
                <w:color w:val="auto"/>
                <w:sz w:val="21"/>
                <w:szCs w:val="21"/>
                <w:lang w:eastAsia="zh-CN"/>
              </w:rPr>
              <w:t>项目环保投资估算一览表</w:t>
            </w:r>
          </w:p>
          <w:tbl>
            <w:tblPr>
              <w:tblStyle w:val="32"/>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
              <w:gridCol w:w="1401"/>
              <w:gridCol w:w="4736"/>
              <w:gridCol w:w="1052"/>
            </w:tblGrid>
            <w:tr w14:paraId="09DB4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8" w:type="dxa"/>
                  <w:tcBorders>
                    <w:tl2br w:val="nil"/>
                    <w:tr2bl w:val="nil"/>
                  </w:tcBorders>
                  <w:noWrap/>
                  <w:vAlign w:val="center"/>
                </w:tcPr>
                <w:p w14:paraId="00220578">
                  <w:pPr>
                    <w:jc w:val="center"/>
                    <w:rPr>
                      <w:rFonts w:ascii="Times New Roman" w:hAnsi="Times New Roman" w:cs="Times New Roman"/>
                      <w:color w:val="auto"/>
                      <w:sz w:val="21"/>
                      <w:szCs w:val="21"/>
                    </w:rPr>
                  </w:pPr>
                  <w:r>
                    <w:rPr>
                      <w:rFonts w:ascii="Times New Roman" w:hAnsi="Times New Roman" w:cs="Times New Roman"/>
                      <w:color w:val="auto"/>
                      <w:sz w:val="21"/>
                      <w:szCs w:val="21"/>
                    </w:rPr>
                    <w:t>类别</w:t>
                  </w:r>
                </w:p>
              </w:tc>
              <w:tc>
                <w:tcPr>
                  <w:tcW w:w="1401" w:type="dxa"/>
                  <w:tcBorders>
                    <w:tl2br w:val="nil"/>
                    <w:tr2bl w:val="nil"/>
                  </w:tcBorders>
                  <w:noWrap/>
                  <w:vAlign w:val="center"/>
                </w:tcPr>
                <w:p w14:paraId="26F528A5">
                  <w:pPr>
                    <w:jc w:val="center"/>
                    <w:rPr>
                      <w:rFonts w:ascii="Times New Roman" w:hAnsi="Times New Roman" w:cs="Times New Roman"/>
                      <w:color w:val="auto"/>
                      <w:sz w:val="21"/>
                      <w:szCs w:val="21"/>
                    </w:rPr>
                  </w:pPr>
                  <w:r>
                    <w:rPr>
                      <w:rFonts w:ascii="Times New Roman" w:hAnsi="Times New Roman" w:cs="Times New Roman"/>
                      <w:color w:val="auto"/>
                      <w:sz w:val="21"/>
                      <w:szCs w:val="21"/>
                    </w:rPr>
                    <w:t>污染源</w:t>
                  </w:r>
                </w:p>
              </w:tc>
              <w:tc>
                <w:tcPr>
                  <w:tcW w:w="4736" w:type="dxa"/>
                  <w:tcBorders>
                    <w:tl2br w:val="nil"/>
                    <w:tr2bl w:val="nil"/>
                  </w:tcBorders>
                  <w:noWrap/>
                  <w:vAlign w:val="center"/>
                </w:tcPr>
                <w:p w14:paraId="65E65B68">
                  <w:pPr>
                    <w:jc w:val="center"/>
                    <w:rPr>
                      <w:rFonts w:ascii="Times New Roman" w:hAnsi="Times New Roman" w:cs="Times New Roman"/>
                      <w:color w:val="auto"/>
                      <w:sz w:val="21"/>
                      <w:szCs w:val="21"/>
                    </w:rPr>
                  </w:pPr>
                  <w:r>
                    <w:rPr>
                      <w:rFonts w:ascii="Times New Roman" w:hAnsi="Times New Roman" w:cs="Times New Roman"/>
                      <w:color w:val="auto"/>
                      <w:sz w:val="21"/>
                      <w:szCs w:val="21"/>
                    </w:rPr>
                    <w:t>环保措施</w:t>
                  </w:r>
                </w:p>
              </w:tc>
              <w:tc>
                <w:tcPr>
                  <w:tcW w:w="1052" w:type="dxa"/>
                  <w:tcBorders>
                    <w:tl2br w:val="nil"/>
                    <w:tr2bl w:val="nil"/>
                  </w:tcBorders>
                  <w:noWrap/>
                  <w:vAlign w:val="center"/>
                </w:tcPr>
                <w:p w14:paraId="22F63C4B">
                  <w:pPr>
                    <w:jc w:val="center"/>
                    <w:rPr>
                      <w:rFonts w:ascii="Times New Roman" w:hAnsi="Times New Roman" w:cs="Times New Roman"/>
                      <w:color w:val="auto"/>
                      <w:sz w:val="21"/>
                      <w:szCs w:val="21"/>
                    </w:rPr>
                  </w:pPr>
                  <w:r>
                    <w:rPr>
                      <w:rFonts w:ascii="Times New Roman" w:hAnsi="Times New Roman" w:cs="Times New Roman"/>
                      <w:color w:val="auto"/>
                      <w:sz w:val="21"/>
                      <w:szCs w:val="21"/>
                    </w:rPr>
                    <w:t>投资金额（万元）</w:t>
                  </w:r>
                </w:p>
              </w:tc>
            </w:tr>
            <w:tr w14:paraId="1C97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8" w:type="dxa"/>
                  <w:vMerge w:val="restart"/>
                  <w:tcBorders>
                    <w:tl2br w:val="nil"/>
                    <w:tr2bl w:val="nil"/>
                  </w:tcBorders>
                  <w:noWrap/>
                  <w:vAlign w:val="center"/>
                </w:tcPr>
                <w:p w14:paraId="728D8DE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废气</w:t>
                  </w:r>
                </w:p>
              </w:tc>
              <w:tc>
                <w:tcPr>
                  <w:tcW w:w="1401" w:type="dxa"/>
                  <w:tcBorders>
                    <w:tl2br w:val="nil"/>
                    <w:tr2bl w:val="nil"/>
                  </w:tcBorders>
                  <w:noWrap/>
                  <w:vAlign w:val="center"/>
                </w:tcPr>
                <w:p w14:paraId="1506F797">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装卸</w:t>
                  </w:r>
                  <w:r>
                    <w:rPr>
                      <w:rFonts w:hint="eastAsia" w:ascii="Times New Roman" w:hAnsi="Times New Roman" w:eastAsia="宋体" w:cs="Times New Roman"/>
                      <w:color w:val="auto"/>
                      <w:sz w:val="21"/>
                      <w:szCs w:val="21"/>
                      <w:lang w:eastAsia="zh-CN"/>
                    </w:rPr>
                    <w:t>扬尘</w:t>
                  </w:r>
                </w:p>
              </w:tc>
              <w:tc>
                <w:tcPr>
                  <w:tcW w:w="4736" w:type="dxa"/>
                  <w:tcBorders>
                    <w:tl2br w:val="nil"/>
                    <w:tr2bl w:val="nil"/>
                  </w:tcBorders>
                  <w:noWrap/>
                  <w:vAlign w:val="center"/>
                </w:tcPr>
                <w:p w14:paraId="67076B89">
                  <w:pPr>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highlight w:val="none"/>
                      <w:lang w:eastAsia="zh-CN"/>
                    </w:rPr>
                    <w:t>设全封闭</w:t>
                  </w:r>
                  <w:r>
                    <w:rPr>
                      <w:rFonts w:hint="eastAsia" w:ascii="Times New Roman" w:hAnsi="Times New Roman" w:eastAsia="宋体" w:cs="Times New Roman"/>
                      <w:color w:val="auto"/>
                      <w:sz w:val="21"/>
                      <w:szCs w:val="21"/>
                      <w:highlight w:val="none"/>
                      <w:lang w:val="en-US" w:eastAsia="zh-CN"/>
                    </w:rPr>
                    <w:t>车间，车辆出入口采用自动感应密闭门，</w:t>
                  </w:r>
                  <w:r>
                    <w:rPr>
                      <w:rFonts w:hint="default" w:ascii="Times New Roman" w:hAnsi="Times New Roman" w:eastAsia="宋体" w:cs="Times New Roman"/>
                      <w:b w:val="0"/>
                      <w:bCs w:val="0"/>
                      <w:color w:val="auto"/>
                      <w:sz w:val="21"/>
                      <w:szCs w:val="21"/>
                      <w:u w:val="none"/>
                      <w:vertAlign w:val="baseline"/>
                      <w:lang w:val="en-US" w:eastAsia="zh-CN"/>
                    </w:rPr>
                    <w:t>生产车间</w:t>
                  </w:r>
                  <w:r>
                    <w:rPr>
                      <w:rFonts w:hint="eastAsia" w:ascii="Times New Roman" w:hAnsi="Times New Roman" w:eastAsia="宋体" w:cs="Times New Roman"/>
                      <w:b w:val="0"/>
                      <w:bCs w:val="0"/>
                      <w:color w:val="auto"/>
                      <w:sz w:val="21"/>
                      <w:szCs w:val="21"/>
                      <w:u w:val="none"/>
                      <w:vertAlign w:val="baseline"/>
                      <w:lang w:val="en-US" w:eastAsia="zh-CN"/>
                    </w:rPr>
                    <w:t>、原料区</w:t>
                  </w:r>
                  <w:r>
                    <w:rPr>
                      <w:rFonts w:hint="default" w:ascii="Times New Roman" w:hAnsi="Times New Roman" w:eastAsia="宋体" w:cs="Times New Roman"/>
                      <w:b w:val="0"/>
                      <w:bCs w:val="0"/>
                      <w:color w:val="auto"/>
                      <w:sz w:val="21"/>
                      <w:szCs w:val="21"/>
                      <w:u w:val="none"/>
                      <w:vertAlign w:val="baseline"/>
                      <w:lang w:val="en-US" w:eastAsia="zh-CN"/>
                    </w:rPr>
                    <w:t>进出门应安装颗粒物监测微站和门禁视频监控</w:t>
                  </w:r>
                </w:p>
              </w:tc>
              <w:tc>
                <w:tcPr>
                  <w:tcW w:w="1052" w:type="dxa"/>
                  <w:tcBorders>
                    <w:tl2br w:val="nil"/>
                    <w:tr2bl w:val="nil"/>
                  </w:tcBorders>
                  <w:noWrap/>
                  <w:vAlign w:val="center"/>
                </w:tcPr>
                <w:p w14:paraId="60CD3D0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5D621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8" w:type="dxa"/>
                  <w:vMerge w:val="continue"/>
                  <w:tcBorders>
                    <w:tl2br w:val="nil"/>
                    <w:tr2bl w:val="nil"/>
                  </w:tcBorders>
                  <w:noWrap/>
                  <w:vAlign w:val="center"/>
                </w:tcPr>
                <w:p w14:paraId="23E32D04">
                  <w:pPr>
                    <w:jc w:val="center"/>
                    <w:rPr>
                      <w:rFonts w:ascii="Times New Roman" w:hAnsi="Times New Roman" w:cs="Times New Roman"/>
                      <w:color w:val="auto"/>
                      <w:sz w:val="21"/>
                      <w:szCs w:val="21"/>
                    </w:rPr>
                  </w:pPr>
                </w:p>
              </w:tc>
              <w:tc>
                <w:tcPr>
                  <w:tcW w:w="1401" w:type="dxa"/>
                  <w:tcBorders>
                    <w:tl2br w:val="nil"/>
                    <w:tr2bl w:val="nil"/>
                  </w:tcBorders>
                  <w:noWrap/>
                  <w:vAlign w:val="center"/>
                </w:tcPr>
                <w:p w14:paraId="73E40F4E">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道路扬尘</w:t>
                  </w:r>
                </w:p>
              </w:tc>
              <w:tc>
                <w:tcPr>
                  <w:tcW w:w="4736" w:type="dxa"/>
                  <w:tcBorders>
                    <w:tl2br w:val="nil"/>
                    <w:tr2bl w:val="nil"/>
                  </w:tcBorders>
                  <w:noWrap/>
                  <w:vAlign w:val="center"/>
                </w:tcPr>
                <w:p w14:paraId="6031BF55">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sz w:val="21"/>
                      <w:szCs w:val="21"/>
                      <w:lang w:val="en-US" w:eastAsia="zh-CN"/>
                    </w:rPr>
                    <w:t>依托现有洗车平台</w:t>
                  </w:r>
                  <w:r>
                    <w:rPr>
                      <w:rFonts w:hint="eastAsia" w:ascii="Times New Roman" w:hAnsi="Times New Roman" w:eastAsia="宋体" w:cs="Times New Roman"/>
                      <w:color w:val="auto"/>
                      <w:sz w:val="21"/>
                      <w:szCs w:val="21"/>
                      <w:highlight w:val="none"/>
                      <w:lang w:val="en-US" w:eastAsia="zh-CN"/>
                    </w:rPr>
                    <w:t>，运输车辆减速行驶</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运输车辆采用国五、国六运输车辆，装载机等非移动机械采用国三标准</w:t>
                  </w:r>
                  <w:r>
                    <w:rPr>
                      <w:rFonts w:hint="eastAsia" w:ascii="Times New Roman" w:hAnsi="Times New Roman" w:eastAsia="宋体" w:cs="Times New Roman"/>
                      <w:color w:val="auto"/>
                      <w:sz w:val="21"/>
                      <w:szCs w:val="21"/>
                      <w:highlight w:val="none"/>
                      <w:lang w:eastAsia="zh-CN"/>
                    </w:rPr>
                    <w:t>）</w:t>
                  </w:r>
                </w:p>
              </w:tc>
              <w:tc>
                <w:tcPr>
                  <w:tcW w:w="1052" w:type="dxa"/>
                  <w:tcBorders>
                    <w:tl2br w:val="nil"/>
                    <w:tr2bl w:val="nil"/>
                  </w:tcBorders>
                  <w:noWrap/>
                  <w:vAlign w:val="center"/>
                </w:tcPr>
                <w:p w14:paraId="51B79CE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w:t>
                  </w:r>
                </w:p>
              </w:tc>
            </w:tr>
            <w:tr w14:paraId="3665E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978" w:type="dxa"/>
                  <w:vMerge w:val="continue"/>
                  <w:tcBorders>
                    <w:tl2br w:val="nil"/>
                    <w:tr2bl w:val="nil"/>
                  </w:tcBorders>
                  <w:noWrap/>
                  <w:vAlign w:val="center"/>
                </w:tcPr>
                <w:p w14:paraId="69DE9423">
                  <w:pPr>
                    <w:jc w:val="center"/>
                    <w:rPr>
                      <w:rFonts w:ascii="Times New Roman" w:hAnsi="Times New Roman" w:cs="Times New Roman"/>
                      <w:color w:val="auto"/>
                      <w:sz w:val="21"/>
                      <w:szCs w:val="21"/>
                    </w:rPr>
                  </w:pPr>
                </w:p>
              </w:tc>
              <w:tc>
                <w:tcPr>
                  <w:tcW w:w="1401" w:type="dxa"/>
                  <w:tcBorders>
                    <w:tl2br w:val="nil"/>
                    <w:tr2bl w:val="nil"/>
                  </w:tcBorders>
                  <w:noWrap/>
                  <w:vAlign w:val="center"/>
                </w:tcPr>
                <w:p w14:paraId="2D0C447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输送粉尘</w:t>
                  </w:r>
                </w:p>
              </w:tc>
              <w:tc>
                <w:tcPr>
                  <w:tcW w:w="4736" w:type="dxa"/>
                  <w:tcBorders>
                    <w:tl2br w:val="nil"/>
                    <w:tr2bl w:val="nil"/>
                  </w:tcBorders>
                  <w:noWrap/>
                  <w:vAlign w:val="center"/>
                </w:tcPr>
                <w:p w14:paraId="0AFB7FF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输送皮带全封闭</w:t>
                  </w:r>
                </w:p>
              </w:tc>
              <w:tc>
                <w:tcPr>
                  <w:tcW w:w="1052" w:type="dxa"/>
                  <w:tcBorders>
                    <w:tl2br w:val="nil"/>
                    <w:tr2bl w:val="nil"/>
                  </w:tcBorders>
                  <w:noWrap/>
                  <w:vAlign w:val="center"/>
                </w:tcPr>
                <w:p w14:paraId="55D7A0E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1</w:t>
                  </w:r>
                </w:p>
              </w:tc>
            </w:tr>
            <w:tr w14:paraId="4267A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8" w:type="dxa"/>
                  <w:vMerge w:val="continue"/>
                  <w:tcBorders>
                    <w:tl2br w:val="nil"/>
                    <w:tr2bl w:val="nil"/>
                  </w:tcBorders>
                  <w:noWrap/>
                  <w:vAlign w:val="center"/>
                </w:tcPr>
                <w:p w14:paraId="0927D79D">
                  <w:pPr>
                    <w:jc w:val="center"/>
                    <w:rPr>
                      <w:rFonts w:ascii="Times New Roman" w:hAnsi="Times New Roman" w:cs="Times New Roman"/>
                      <w:color w:val="auto"/>
                      <w:sz w:val="21"/>
                      <w:szCs w:val="21"/>
                    </w:rPr>
                  </w:pPr>
                </w:p>
              </w:tc>
              <w:tc>
                <w:tcPr>
                  <w:tcW w:w="1401" w:type="dxa"/>
                  <w:tcBorders>
                    <w:tl2br w:val="nil"/>
                    <w:tr2bl w:val="nil"/>
                  </w:tcBorders>
                  <w:noWrap/>
                  <w:vAlign w:val="center"/>
                </w:tcPr>
                <w:p w14:paraId="47566EF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破碎</w:t>
                  </w:r>
                  <w:r>
                    <w:rPr>
                      <w:rFonts w:hint="eastAsia" w:ascii="Times New Roman" w:hAnsi="Times New Roman" w:eastAsia="宋体" w:cs="Times New Roman"/>
                      <w:color w:val="auto"/>
                      <w:sz w:val="21"/>
                      <w:szCs w:val="21"/>
                      <w:highlight w:val="none"/>
                      <w:lang w:val="en-US" w:eastAsia="zh-CN"/>
                    </w:rPr>
                    <w:t>粉尘</w:t>
                  </w:r>
                </w:p>
              </w:tc>
              <w:tc>
                <w:tcPr>
                  <w:tcW w:w="4736" w:type="dxa"/>
                  <w:vMerge w:val="restart"/>
                  <w:tcBorders>
                    <w:tl2br w:val="nil"/>
                    <w:tr2bl w:val="nil"/>
                  </w:tcBorders>
                  <w:noWrap/>
                  <w:vAlign w:val="center"/>
                </w:tcPr>
                <w:p w14:paraId="77FFB0A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拟在上料机及破碎机设置2个集尘罩，筒仓全密闭设置集气管道，经1台布袋除尘器处理后通过1根15m高排气筒（DA001）排放。</w:t>
                  </w:r>
                </w:p>
              </w:tc>
              <w:tc>
                <w:tcPr>
                  <w:tcW w:w="1052" w:type="dxa"/>
                  <w:vMerge w:val="restart"/>
                  <w:tcBorders>
                    <w:tl2br w:val="nil"/>
                    <w:tr2bl w:val="nil"/>
                  </w:tcBorders>
                  <w:noWrap/>
                  <w:vAlign w:val="center"/>
                </w:tcPr>
                <w:p w14:paraId="024ED1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15</w:t>
                  </w:r>
                </w:p>
              </w:tc>
            </w:tr>
            <w:tr w14:paraId="2563B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8" w:type="dxa"/>
                  <w:vMerge w:val="continue"/>
                  <w:tcBorders>
                    <w:tl2br w:val="nil"/>
                    <w:tr2bl w:val="nil"/>
                  </w:tcBorders>
                  <w:noWrap/>
                  <w:vAlign w:val="center"/>
                </w:tcPr>
                <w:p w14:paraId="154416AB">
                  <w:pPr>
                    <w:jc w:val="center"/>
                    <w:rPr>
                      <w:rFonts w:ascii="Times New Roman" w:hAnsi="Times New Roman" w:cs="Times New Roman"/>
                      <w:color w:val="auto"/>
                      <w:sz w:val="21"/>
                      <w:szCs w:val="21"/>
                    </w:rPr>
                  </w:pPr>
                </w:p>
              </w:tc>
              <w:tc>
                <w:tcPr>
                  <w:tcW w:w="1401" w:type="dxa"/>
                  <w:tcBorders>
                    <w:tl2br w:val="nil"/>
                    <w:tr2bl w:val="nil"/>
                  </w:tcBorders>
                  <w:noWrap/>
                  <w:vAlign w:val="center"/>
                </w:tcPr>
                <w:p w14:paraId="1F80999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筒仓粉尘</w:t>
                  </w:r>
                </w:p>
              </w:tc>
              <w:tc>
                <w:tcPr>
                  <w:tcW w:w="4736" w:type="dxa"/>
                  <w:vMerge w:val="continue"/>
                  <w:tcBorders>
                    <w:tl2br w:val="nil"/>
                    <w:tr2bl w:val="nil"/>
                  </w:tcBorders>
                  <w:noWrap/>
                  <w:vAlign w:val="center"/>
                </w:tcPr>
                <w:p w14:paraId="03B5A8F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p>
              </w:tc>
              <w:tc>
                <w:tcPr>
                  <w:tcW w:w="1052" w:type="dxa"/>
                  <w:vMerge w:val="continue"/>
                  <w:tcBorders>
                    <w:tl2br w:val="nil"/>
                    <w:tr2bl w:val="nil"/>
                  </w:tcBorders>
                  <w:noWrap/>
                  <w:vAlign w:val="center"/>
                </w:tcPr>
                <w:p w14:paraId="493A9C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14:paraId="36E3A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8" w:type="dxa"/>
                  <w:tcBorders>
                    <w:tl2br w:val="nil"/>
                    <w:tr2bl w:val="nil"/>
                  </w:tcBorders>
                  <w:noWrap/>
                  <w:vAlign w:val="center"/>
                </w:tcPr>
                <w:p w14:paraId="7684178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废水</w:t>
                  </w:r>
                </w:p>
              </w:tc>
              <w:tc>
                <w:tcPr>
                  <w:tcW w:w="1401" w:type="dxa"/>
                  <w:tcBorders>
                    <w:tl2br w:val="nil"/>
                    <w:tr2bl w:val="nil"/>
                  </w:tcBorders>
                  <w:noWrap/>
                  <w:vAlign w:val="center"/>
                </w:tcPr>
                <w:p w14:paraId="71F3CD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初期雨水</w:t>
                  </w:r>
                </w:p>
              </w:tc>
              <w:tc>
                <w:tcPr>
                  <w:tcW w:w="4736" w:type="dxa"/>
                  <w:tcBorders>
                    <w:tl2br w:val="nil"/>
                    <w:tr2bl w:val="nil"/>
                  </w:tcBorders>
                  <w:noWrap/>
                  <w:vAlign w:val="center"/>
                </w:tcPr>
                <w:p w14:paraId="65077DC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经初期雨水池收集后回用于厂区抑尘洒水不外排</w:t>
                  </w:r>
                </w:p>
              </w:tc>
              <w:tc>
                <w:tcPr>
                  <w:tcW w:w="1052" w:type="dxa"/>
                  <w:tcBorders>
                    <w:tl2br w:val="nil"/>
                    <w:tr2bl w:val="nil"/>
                  </w:tcBorders>
                  <w:noWrap/>
                  <w:vAlign w:val="center"/>
                </w:tcPr>
                <w:p w14:paraId="0717C3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w:t>
                  </w:r>
                </w:p>
              </w:tc>
            </w:tr>
            <w:tr w14:paraId="57EE4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8" w:type="dxa"/>
                  <w:tcBorders>
                    <w:tl2br w:val="nil"/>
                    <w:tr2bl w:val="nil"/>
                  </w:tcBorders>
                  <w:noWrap/>
                  <w:vAlign w:val="center"/>
                </w:tcPr>
                <w:p w14:paraId="772040F2">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1401" w:type="dxa"/>
                  <w:tcBorders>
                    <w:tl2br w:val="nil"/>
                    <w:tr2bl w:val="nil"/>
                  </w:tcBorders>
                  <w:noWrap/>
                  <w:vAlign w:val="center"/>
                </w:tcPr>
                <w:p w14:paraId="0A111E71">
                  <w:pPr>
                    <w:jc w:val="center"/>
                    <w:rPr>
                      <w:rFonts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设备</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rPr>
                    <w:t>运输车辆、装载机等</w:t>
                  </w:r>
                </w:p>
              </w:tc>
              <w:tc>
                <w:tcPr>
                  <w:tcW w:w="4736" w:type="dxa"/>
                  <w:tcBorders>
                    <w:tl2br w:val="nil"/>
                    <w:tr2bl w:val="nil"/>
                  </w:tcBorders>
                  <w:noWrap/>
                  <w:vAlign w:val="center"/>
                </w:tcPr>
                <w:p w14:paraId="745BA476">
                  <w:pPr>
                    <w:jc w:val="center"/>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highlight w:val="none"/>
                      <w:lang w:eastAsia="zh-CN"/>
                    </w:rPr>
                    <w:t>选用低噪设备、生产设备全部位于室内，</w:t>
                  </w:r>
                  <w:r>
                    <w:rPr>
                      <w:rFonts w:hint="eastAsia" w:ascii="Times New Roman" w:hAnsi="Times New Roman" w:eastAsia="宋体" w:cs="Times New Roman"/>
                      <w:color w:val="auto"/>
                      <w:sz w:val="21"/>
                      <w:szCs w:val="21"/>
                      <w:highlight w:val="none"/>
                      <w:lang w:val="en-US" w:eastAsia="zh-CN"/>
                    </w:rPr>
                    <w:t>设置</w:t>
                  </w:r>
                  <w:r>
                    <w:rPr>
                      <w:rFonts w:hint="eastAsia" w:ascii="Times New Roman" w:hAnsi="Times New Roman" w:eastAsia="宋体" w:cs="Times New Roman"/>
                      <w:color w:val="auto"/>
                      <w:sz w:val="21"/>
                      <w:szCs w:val="21"/>
                      <w:highlight w:val="none"/>
                      <w:lang w:eastAsia="zh-CN"/>
                    </w:rPr>
                    <w:t>基础减震、建筑物隔声等</w:t>
                  </w:r>
                  <w:r>
                    <w:rPr>
                      <w:rFonts w:hint="eastAsia" w:ascii="Times New Roman" w:hAnsi="Times New Roman" w:eastAsia="宋体" w:cs="Times New Roman"/>
                      <w:color w:val="auto"/>
                      <w:sz w:val="21"/>
                      <w:szCs w:val="21"/>
                      <w:highlight w:val="none"/>
                      <w:lang w:val="en-US" w:eastAsia="zh-CN"/>
                    </w:rPr>
                    <w:t>措施</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lang w:eastAsia="zh-CN"/>
                    </w:rPr>
                    <w:t>运输车辆限速、禁鸣笛；装载机定期维护保持良好工况</w:t>
                  </w:r>
                </w:p>
              </w:tc>
              <w:tc>
                <w:tcPr>
                  <w:tcW w:w="1052" w:type="dxa"/>
                  <w:tcBorders>
                    <w:tl2br w:val="nil"/>
                    <w:tr2bl w:val="nil"/>
                  </w:tcBorders>
                  <w:noWrap/>
                  <w:vAlign w:val="center"/>
                </w:tcPr>
                <w:p w14:paraId="6388B0E5">
                  <w:pPr>
                    <w:keepNext w:val="0"/>
                    <w:keepLines w:val="0"/>
                    <w:widowControl/>
                    <w:suppressLineNumbers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i w:val="0"/>
                      <w:iCs w:val="0"/>
                      <w:color w:val="000000"/>
                      <w:kern w:val="0"/>
                      <w:sz w:val="21"/>
                      <w:szCs w:val="21"/>
                      <w:u w:val="none"/>
                      <w:lang w:val="en-US" w:eastAsia="zh-CN" w:bidi="ar"/>
                    </w:rPr>
                    <w:t>3</w:t>
                  </w:r>
                </w:p>
              </w:tc>
            </w:tr>
            <w:tr w14:paraId="783A7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8" w:type="dxa"/>
                  <w:vMerge w:val="restart"/>
                  <w:tcBorders>
                    <w:tl2br w:val="nil"/>
                    <w:tr2bl w:val="nil"/>
                  </w:tcBorders>
                  <w:noWrap/>
                  <w:vAlign w:val="center"/>
                </w:tcPr>
                <w:p w14:paraId="5D23CE74">
                  <w:pPr>
                    <w:jc w:val="center"/>
                    <w:rPr>
                      <w:rFonts w:ascii="Times New Roman" w:hAnsi="Times New Roman" w:cs="Times New Roman"/>
                      <w:color w:val="auto"/>
                      <w:sz w:val="21"/>
                      <w:szCs w:val="21"/>
                    </w:rPr>
                  </w:pPr>
                  <w:r>
                    <w:rPr>
                      <w:rFonts w:ascii="Times New Roman" w:hAnsi="Times New Roman" w:cs="Times New Roman"/>
                      <w:color w:val="auto"/>
                      <w:sz w:val="21"/>
                      <w:szCs w:val="21"/>
                    </w:rPr>
                    <w:t>固废</w:t>
                  </w:r>
                </w:p>
              </w:tc>
              <w:tc>
                <w:tcPr>
                  <w:tcW w:w="1401" w:type="dxa"/>
                  <w:tcBorders>
                    <w:tl2br w:val="nil"/>
                    <w:tr2bl w:val="nil"/>
                  </w:tcBorders>
                  <w:noWrap/>
                  <w:vAlign w:val="center"/>
                </w:tcPr>
                <w:p w14:paraId="66C5A9E1">
                  <w:pPr>
                    <w:jc w:val="center"/>
                    <w:rPr>
                      <w:rFonts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除尘灰</w:t>
                  </w:r>
                </w:p>
              </w:tc>
              <w:tc>
                <w:tcPr>
                  <w:tcW w:w="4736" w:type="dxa"/>
                  <w:tcBorders>
                    <w:tl2br w:val="nil"/>
                    <w:tr2bl w:val="nil"/>
                  </w:tcBorders>
                  <w:noWrap/>
                  <w:vAlign w:val="center"/>
                </w:tcPr>
                <w:p w14:paraId="68C88561">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作为成品外售</w:t>
                  </w:r>
                </w:p>
              </w:tc>
              <w:tc>
                <w:tcPr>
                  <w:tcW w:w="1052" w:type="dxa"/>
                  <w:tcBorders>
                    <w:tl2br w:val="nil"/>
                    <w:tr2bl w:val="nil"/>
                  </w:tcBorders>
                  <w:noWrap/>
                  <w:vAlign w:val="center"/>
                </w:tcPr>
                <w:p w14:paraId="33737F1A">
                  <w:pPr>
                    <w:keepNext w:val="0"/>
                    <w:keepLines w:val="0"/>
                    <w:widowControl/>
                    <w:suppressLineNumbers w:val="0"/>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i w:val="0"/>
                      <w:iCs w:val="0"/>
                      <w:color w:val="000000"/>
                      <w:kern w:val="0"/>
                      <w:sz w:val="21"/>
                      <w:szCs w:val="21"/>
                      <w:u w:val="none"/>
                      <w:lang w:val="en-US" w:eastAsia="zh-CN" w:bidi="ar"/>
                    </w:rPr>
                    <w:t>/</w:t>
                  </w:r>
                </w:p>
              </w:tc>
            </w:tr>
            <w:tr w14:paraId="2DDC7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978" w:type="dxa"/>
                  <w:vMerge w:val="continue"/>
                  <w:tcBorders>
                    <w:tl2br w:val="nil"/>
                    <w:tr2bl w:val="nil"/>
                  </w:tcBorders>
                  <w:noWrap/>
                  <w:vAlign w:val="center"/>
                </w:tcPr>
                <w:p w14:paraId="3D4DB8F2">
                  <w:pPr>
                    <w:jc w:val="center"/>
                    <w:rPr>
                      <w:rFonts w:ascii="Times New Roman" w:hAnsi="Times New Roman" w:cs="Times New Roman"/>
                      <w:color w:val="auto"/>
                      <w:sz w:val="21"/>
                      <w:szCs w:val="21"/>
                    </w:rPr>
                  </w:pPr>
                </w:p>
              </w:tc>
              <w:tc>
                <w:tcPr>
                  <w:tcW w:w="1401" w:type="dxa"/>
                  <w:tcBorders>
                    <w:tl2br w:val="nil"/>
                    <w:tr2bl w:val="nil"/>
                  </w:tcBorders>
                  <w:noWrap/>
                  <w:vAlign w:val="center"/>
                </w:tcPr>
                <w:p w14:paraId="5F609358">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w:t>
                  </w:r>
                </w:p>
              </w:tc>
              <w:tc>
                <w:tcPr>
                  <w:tcW w:w="4736" w:type="dxa"/>
                  <w:tcBorders>
                    <w:tl2br w:val="nil"/>
                    <w:tr2bl w:val="nil"/>
                  </w:tcBorders>
                  <w:noWrap/>
                  <w:vAlign w:val="center"/>
                </w:tcPr>
                <w:p w14:paraId="65A067D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废矿物油及废油桶暂存于现有10m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危险废物临时贮存库并交由资质单位处置</w:t>
                  </w:r>
                </w:p>
              </w:tc>
              <w:tc>
                <w:tcPr>
                  <w:tcW w:w="1052" w:type="dxa"/>
                  <w:tcBorders>
                    <w:tl2br w:val="nil"/>
                    <w:tr2bl w:val="nil"/>
                  </w:tcBorders>
                  <w:noWrap/>
                  <w:vAlign w:val="center"/>
                </w:tcPr>
                <w:p w14:paraId="3218D18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w:t>
                  </w:r>
                </w:p>
              </w:tc>
            </w:tr>
            <w:tr w14:paraId="250B3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15" w:type="dxa"/>
                  <w:gridSpan w:val="3"/>
                  <w:tcBorders>
                    <w:tl2br w:val="nil"/>
                    <w:tr2bl w:val="nil"/>
                  </w:tcBorders>
                  <w:noWrap/>
                  <w:vAlign w:val="center"/>
                </w:tcPr>
                <w:p w14:paraId="16FCB8F1">
                  <w:pPr>
                    <w:jc w:val="center"/>
                    <w:rPr>
                      <w:rFonts w:ascii="Times New Roman" w:hAnsi="Times New Roman" w:cs="Times New Roman"/>
                      <w:color w:val="auto"/>
                      <w:sz w:val="21"/>
                      <w:szCs w:val="21"/>
                    </w:rPr>
                  </w:pPr>
                  <w:r>
                    <w:rPr>
                      <w:rFonts w:ascii="Times New Roman" w:hAnsi="Times New Roman" w:cs="Times New Roman"/>
                      <w:color w:val="auto"/>
                      <w:sz w:val="21"/>
                      <w:szCs w:val="21"/>
                    </w:rPr>
                    <w:t>合计</w:t>
                  </w:r>
                </w:p>
              </w:tc>
              <w:tc>
                <w:tcPr>
                  <w:tcW w:w="1052" w:type="dxa"/>
                  <w:tcBorders>
                    <w:tl2br w:val="nil"/>
                    <w:tr2bl w:val="nil"/>
                  </w:tcBorders>
                  <w:noWrap/>
                  <w:vAlign w:val="center"/>
                </w:tcPr>
                <w:p w14:paraId="7D5A7C5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r>
          </w:tbl>
          <w:p w14:paraId="28BF7D8A">
            <w:pPr>
              <w:adjustRightInd w:val="0"/>
              <w:jc w:val="center"/>
              <w:rPr>
                <w:rFonts w:ascii="Times New Roman" w:hAnsi="Times New Roman" w:eastAsia="宋体" w:cs="Times New Roman"/>
                <w:b/>
                <w:color w:val="auto"/>
                <w:sz w:val="21"/>
                <w:szCs w:val="21"/>
                <w:lang w:eastAsia="zh-CN"/>
              </w:rPr>
            </w:pPr>
          </w:p>
          <w:p w14:paraId="1FC61763">
            <w:pPr>
              <w:spacing w:line="360" w:lineRule="auto"/>
              <w:jc w:val="both"/>
              <w:rPr>
                <w:rFonts w:hint="eastAsia" w:ascii="Times New Roman" w:hAnsi="Times New Roman" w:eastAsia="宋体" w:cs="Times New Roman"/>
                <w:color w:val="auto"/>
                <w:sz w:val="24"/>
                <w:szCs w:val="24"/>
                <w:lang w:val="en-US" w:eastAsia="zh-CN"/>
              </w:rPr>
            </w:pPr>
          </w:p>
          <w:p w14:paraId="0E863097">
            <w:pPr>
              <w:spacing w:line="360" w:lineRule="auto"/>
              <w:jc w:val="both"/>
              <w:rPr>
                <w:rFonts w:hint="eastAsia" w:ascii="Times New Roman" w:hAnsi="Times New Roman" w:eastAsia="宋体" w:cs="Times New Roman"/>
                <w:color w:val="auto"/>
                <w:sz w:val="24"/>
                <w:szCs w:val="24"/>
                <w:lang w:val="en-US" w:eastAsia="zh-CN"/>
              </w:rPr>
            </w:pPr>
          </w:p>
          <w:p w14:paraId="2EA2091F">
            <w:pPr>
              <w:spacing w:line="360" w:lineRule="auto"/>
              <w:jc w:val="both"/>
              <w:rPr>
                <w:rFonts w:hint="eastAsia" w:ascii="Times New Roman" w:hAnsi="Times New Roman" w:eastAsia="宋体" w:cs="Times New Roman"/>
                <w:color w:val="auto"/>
                <w:sz w:val="24"/>
                <w:szCs w:val="24"/>
                <w:lang w:val="en-US" w:eastAsia="zh-CN"/>
              </w:rPr>
            </w:pPr>
          </w:p>
          <w:p w14:paraId="735507F8">
            <w:pPr>
              <w:spacing w:line="360" w:lineRule="auto"/>
              <w:jc w:val="both"/>
              <w:rPr>
                <w:rFonts w:hint="eastAsia" w:ascii="Times New Roman" w:hAnsi="Times New Roman" w:eastAsia="宋体" w:cs="Times New Roman"/>
                <w:color w:val="auto"/>
                <w:sz w:val="24"/>
                <w:szCs w:val="24"/>
                <w:lang w:val="en-US" w:eastAsia="zh-CN"/>
              </w:rPr>
            </w:pPr>
          </w:p>
          <w:p w14:paraId="07547B3A">
            <w:pPr>
              <w:spacing w:line="360" w:lineRule="auto"/>
              <w:jc w:val="both"/>
              <w:rPr>
                <w:rFonts w:hint="eastAsia" w:ascii="Times New Roman" w:hAnsi="Times New Roman" w:eastAsia="宋体" w:cs="Times New Roman"/>
                <w:color w:val="auto"/>
                <w:sz w:val="24"/>
                <w:szCs w:val="24"/>
                <w:lang w:val="en-US" w:eastAsia="zh-CN"/>
              </w:rPr>
            </w:pPr>
          </w:p>
          <w:p w14:paraId="3166B725">
            <w:pPr>
              <w:spacing w:line="360" w:lineRule="auto"/>
              <w:jc w:val="both"/>
              <w:rPr>
                <w:rFonts w:hint="eastAsia" w:ascii="Times New Roman" w:hAnsi="Times New Roman" w:eastAsia="宋体" w:cs="Times New Roman"/>
                <w:color w:val="auto"/>
                <w:sz w:val="24"/>
                <w:szCs w:val="24"/>
                <w:lang w:val="en-US" w:eastAsia="zh-CN"/>
              </w:rPr>
            </w:pPr>
          </w:p>
          <w:p w14:paraId="5EE64B5D">
            <w:pPr>
              <w:spacing w:line="360" w:lineRule="auto"/>
              <w:jc w:val="both"/>
              <w:rPr>
                <w:rFonts w:hint="eastAsia" w:ascii="Times New Roman" w:hAnsi="Times New Roman" w:eastAsia="宋体" w:cs="Times New Roman"/>
                <w:color w:val="auto"/>
                <w:sz w:val="24"/>
                <w:szCs w:val="24"/>
                <w:lang w:val="en-US" w:eastAsia="zh-CN"/>
              </w:rPr>
            </w:pPr>
          </w:p>
          <w:p w14:paraId="298B06AE">
            <w:pPr>
              <w:spacing w:line="360" w:lineRule="auto"/>
              <w:jc w:val="both"/>
              <w:rPr>
                <w:rFonts w:hint="eastAsia" w:ascii="Times New Roman" w:hAnsi="Times New Roman" w:eastAsia="宋体" w:cs="Times New Roman"/>
                <w:color w:val="auto"/>
                <w:sz w:val="24"/>
                <w:szCs w:val="24"/>
                <w:lang w:val="en-US" w:eastAsia="zh-CN"/>
              </w:rPr>
            </w:pPr>
          </w:p>
          <w:p w14:paraId="3CC9A01E">
            <w:pPr>
              <w:spacing w:line="360" w:lineRule="auto"/>
              <w:jc w:val="both"/>
              <w:rPr>
                <w:rFonts w:hint="eastAsia" w:ascii="Times New Roman" w:hAnsi="Times New Roman" w:eastAsia="宋体" w:cs="Times New Roman"/>
                <w:color w:val="auto"/>
                <w:sz w:val="24"/>
                <w:szCs w:val="24"/>
                <w:lang w:val="en-US" w:eastAsia="zh-CN"/>
              </w:rPr>
            </w:pPr>
          </w:p>
          <w:p w14:paraId="302E72D8">
            <w:pPr>
              <w:spacing w:line="360" w:lineRule="auto"/>
              <w:jc w:val="both"/>
              <w:rPr>
                <w:rFonts w:hint="eastAsia" w:ascii="Times New Roman" w:hAnsi="Times New Roman" w:eastAsia="宋体" w:cs="Times New Roman"/>
                <w:color w:val="auto"/>
                <w:sz w:val="24"/>
                <w:szCs w:val="24"/>
                <w:lang w:val="en-US" w:eastAsia="zh-CN"/>
              </w:rPr>
            </w:pPr>
          </w:p>
          <w:p w14:paraId="1DEF46DF">
            <w:pPr>
              <w:spacing w:line="360" w:lineRule="auto"/>
              <w:jc w:val="both"/>
              <w:rPr>
                <w:rFonts w:hint="eastAsia" w:ascii="Times New Roman" w:hAnsi="Times New Roman" w:eastAsia="宋体" w:cs="Times New Roman"/>
                <w:color w:val="auto"/>
                <w:sz w:val="24"/>
                <w:szCs w:val="24"/>
                <w:lang w:val="en-US" w:eastAsia="zh-CN"/>
              </w:rPr>
            </w:pPr>
          </w:p>
          <w:p w14:paraId="65B28265">
            <w:pPr>
              <w:spacing w:line="360" w:lineRule="auto"/>
              <w:jc w:val="both"/>
              <w:rPr>
                <w:rFonts w:hint="eastAsia" w:ascii="Times New Roman" w:hAnsi="Times New Roman" w:eastAsia="宋体" w:cs="Times New Roman"/>
                <w:color w:val="auto"/>
                <w:sz w:val="24"/>
                <w:szCs w:val="24"/>
                <w:lang w:val="en-US" w:eastAsia="zh-CN"/>
              </w:rPr>
            </w:pPr>
          </w:p>
          <w:p w14:paraId="46891F3C">
            <w:pPr>
              <w:spacing w:line="360" w:lineRule="auto"/>
              <w:jc w:val="both"/>
              <w:rPr>
                <w:rFonts w:hint="eastAsia" w:ascii="Times New Roman" w:hAnsi="Times New Roman" w:eastAsia="宋体" w:cs="Times New Roman"/>
                <w:color w:val="auto"/>
                <w:sz w:val="24"/>
                <w:szCs w:val="24"/>
                <w:lang w:val="en-US" w:eastAsia="zh-CN"/>
              </w:rPr>
            </w:pPr>
          </w:p>
          <w:p w14:paraId="7C5F5DB7">
            <w:pPr>
              <w:spacing w:line="360" w:lineRule="auto"/>
              <w:jc w:val="both"/>
              <w:rPr>
                <w:rFonts w:hint="eastAsia" w:ascii="Times New Roman" w:hAnsi="Times New Roman" w:eastAsia="宋体" w:cs="Times New Roman"/>
                <w:color w:val="auto"/>
                <w:sz w:val="24"/>
                <w:szCs w:val="24"/>
                <w:lang w:val="en-US" w:eastAsia="zh-CN"/>
              </w:rPr>
            </w:pPr>
          </w:p>
          <w:p w14:paraId="2DB9E8F3">
            <w:pPr>
              <w:spacing w:line="360" w:lineRule="auto"/>
              <w:jc w:val="both"/>
              <w:rPr>
                <w:rFonts w:hint="eastAsia" w:ascii="Times New Roman" w:hAnsi="Times New Roman" w:eastAsia="宋体" w:cs="Times New Roman"/>
                <w:color w:val="auto"/>
                <w:sz w:val="24"/>
                <w:szCs w:val="24"/>
                <w:lang w:val="en-US" w:eastAsia="zh-CN"/>
              </w:rPr>
            </w:pPr>
          </w:p>
          <w:p w14:paraId="34B39D5D">
            <w:pPr>
              <w:spacing w:line="360" w:lineRule="auto"/>
              <w:jc w:val="both"/>
              <w:rPr>
                <w:rFonts w:hint="eastAsia" w:ascii="Times New Roman" w:hAnsi="Times New Roman" w:eastAsia="宋体" w:cs="Times New Roman"/>
                <w:color w:val="auto"/>
                <w:sz w:val="24"/>
                <w:szCs w:val="24"/>
                <w:lang w:val="en-US" w:eastAsia="zh-CN"/>
              </w:rPr>
            </w:pPr>
          </w:p>
          <w:p w14:paraId="44FBD95F">
            <w:pPr>
              <w:spacing w:line="360" w:lineRule="auto"/>
              <w:jc w:val="both"/>
              <w:rPr>
                <w:rFonts w:hint="eastAsia" w:ascii="Times New Roman" w:hAnsi="Times New Roman" w:eastAsia="宋体" w:cs="Times New Roman"/>
                <w:color w:val="auto"/>
                <w:sz w:val="24"/>
                <w:szCs w:val="24"/>
                <w:lang w:val="en-US" w:eastAsia="zh-CN"/>
              </w:rPr>
            </w:pPr>
          </w:p>
          <w:p w14:paraId="597FABF2">
            <w:pPr>
              <w:spacing w:line="360" w:lineRule="auto"/>
              <w:jc w:val="both"/>
              <w:rPr>
                <w:rFonts w:hint="default" w:ascii="Times New Roman" w:hAnsi="Times New Roman" w:eastAsia="宋体" w:cs="Times New Roman"/>
                <w:color w:val="auto"/>
                <w:sz w:val="24"/>
                <w:szCs w:val="24"/>
                <w:lang w:val="en-US" w:eastAsia="zh-CN"/>
              </w:rPr>
            </w:pPr>
          </w:p>
        </w:tc>
      </w:tr>
    </w:tbl>
    <w:p w14:paraId="13DBF06C">
      <w:r>
        <w:br w:type="page"/>
      </w:r>
    </w:p>
    <w:p w14:paraId="4F6598EF">
      <w:pPr>
        <w:pStyle w:val="3"/>
        <w:sectPr>
          <w:pgSz w:w="11910" w:h="16840"/>
          <w:pgMar w:top="1600" w:right="1380" w:bottom="1240" w:left="1380" w:header="0" w:footer="680" w:gutter="0"/>
          <w:pgBorders>
            <w:top w:val="none" w:sz="0" w:space="0"/>
            <w:left w:val="none" w:sz="0" w:space="0"/>
            <w:bottom w:val="none" w:sz="0" w:space="0"/>
            <w:right w:val="none" w:sz="0" w:space="0"/>
          </w:pgBorders>
          <w:cols w:space="720" w:num="1"/>
          <w:docGrid w:linePitch="299" w:charSpace="0"/>
        </w:sectPr>
      </w:pPr>
    </w:p>
    <w:p w14:paraId="137F2C7C">
      <w:pPr>
        <w:pStyle w:val="16"/>
        <w:spacing w:before="0" w:line="360" w:lineRule="auto"/>
        <w:ind w:left="0"/>
        <w:jc w:val="center"/>
        <w:outlineLvl w:val="0"/>
        <w:rPr>
          <w:rFonts w:ascii="Times New Roman" w:hAnsi="Times New Roman" w:eastAsia="宋体" w:cs="Times New Roman"/>
          <w:color w:val="auto"/>
          <w:lang w:eastAsia="zh-CN"/>
        </w:rPr>
      </w:pPr>
      <w:bookmarkStart w:id="30" w:name="五、环保“三同时”监督检查清单"/>
      <w:bookmarkEnd w:id="30"/>
      <w:bookmarkStart w:id="31" w:name="_Toc31300"/>
      <w:r>
        <w:rPr>
          <w:rFonts w:ascii="Times New Roman" w:hAnsi="Times New Roman" w:eastAsia="宋体" w:cs="Times New Roman"/>
          <w:color w:val="auto"/>
          <w:lang w:eastAsia="zh-CN"/>
        </w:rPr>
        <w:t>五、</w:t>
      </w:r>
      <w:r>
        <w:rPr>
          <w:rFonts w:hint="eastAsia" w:ascii="Times New Roman" w:hAnsi="Times New Roman" w:eastAsia="宋体" w:cs="Times New Roman"/>
          <w:color w:val="auto"/>
          <w:highlight w:val="none"/>
          <w:lang w:val="en-US" w:eastAsia="zh-CN"/>
        </w:rPr>
        <w:t>环境保护措施</w:t>
      </w:r>
      <w:r>
        <w:rPr>
          <w:rFonts w:ascii="Times New Roman" w:hAnsi="Times New Roman" w:eastAsia="宋体" w:cs="Times New Roman"/>
          <w:color w:val="auto"/>
          <w:highlight w:val="none"/>
          <w:lang w:eastAsia="zh-CN"/>
        </w:rPr>
        <w:t>监督检查清单</w:t>
      </w:r>
      <w:bookmarkEnd w:id="31"/>
    </w:p>
    <w:tbl>
      <w:tblPr>
        <w:tblStyle w:val="32"/>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01"/>
        <w:gridCol w:w="1243"/>
        <w:gridCol w:w="825"/>
        <w:gridCol w:w="4148"/>
        <w:gridCol w:w="2154"/>
      </w:tblGrid>
      <w:tr w14:paraId="6255F1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61" w:hRule="atLeast"/>
          <w:jc w:val="center"/>
        </w:trPr>
        <w:tc>
          <w:tcPr>
            <w:tcW w:w="701" w:type="dxa"/>
            <w:vMerge w:val="restart"/>
            <w:tcBorders>
              <w:tl2br w:val="nil"/>
              <w:tr2bl w:val="nil"/>
            </w:tcBorders>
            <w:shd w:val="clear" w:color="auto" w:fill="auto"/>
            <w:vAlign w:val="center"/>
          </w:tcPr>
          <w:p w14:paraId="03B643FA">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内容</w:t>
            </w:r>
          </w:p>
        </w:tc>
        <w:tc>
          <w:tcPr>
            <w:tcW w:w="1243" w:type="dxa"/>
            <w:vMerge w:val="restart"/>
            <w:tcBorders>
              <w:tl2br w:val="nil"/>
              <w:tr2bl w:val="nil"/>
            </w:tcBorders>
            <w:shd w:val="clear" w:color="auto" w:fill="auto"/>
            <w:vAlign w:val="center"/>
          </w:tcPr>
          <w:p w14:paraId="4351C5CB">
            <w:pPr>
              <w:widowControl/>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排放口(编号、名称/污染源</w:t>
            </w:r>
          </w:p>
        </w:tc>
        <w:tc>
          <w:tcPr>
            <w:tcW w:w="825" w:type="dxa"/>
            <w:vMerge w:val="restart"/>
            <w:tcBorders>
              <w:tl2br w:val="nil"/>
              <w:tr2bl w:val="nil"/>
            </w:tcBorders>
            <w:shd w:val="clear" w:color="auto" w:fill="auto"/>
            <w:vAlign w:val="center"/>
          </w:tcPr>
          <w:p w14:paraId="1207FEBD">
            <w:pPr>
              <w:widowControl/>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污染物</w:t>
            </w:r>
          </w:p>
          <w:p w14:paraId="32CFE4C8">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项目</w:t>
            </w:r>
          </w:p>
        </w:tc>
        <w:tc>
          <w:tcPr>
            <w:tcW w:w="4148" w:type="dxa"/>
            <w:vMerge w:val="restart"/>
            <w:tcBorders>
              <w:tl2br w:val="nil"/>
              <w:tr2bl w:val="nil"/>
            </w:tcBorders>
            <w:shd w:val="clear" w:color="auto" w:fill="auto"/>
            <w:vAlign w:val="center"/>
          </w:tcPr>
          <w:p w14:paraId="36116CA3">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环境保护措施</w:t>
            </w:r>
          </w:p>
        </w:tc>
        <w:tc>
          <w:tcPr>
            <w:tcW w:w="2154" w:type="dxa"/>
            <w:vMerge w:val="restart"/>
            <w:tcBorders>
              <w:tl2br w:val="nil"/>
              <w:tr2bl w:val="nil"/>
            </w:tcBorders>
            <w:shd w:val="clear" w:color="auto" w:fill="auto"/>
            <w:vAlign w:val="center"/>
          </w:tcPr>
          <w:p w14:paraId="243B739B">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执行标准</w:t>
            </w:r>
          </w:p>
        </w:tc>
      </w:tr>
      <w:tr w14:paraId="7669CD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01" w:type="dxa"/>
            <w:vMerge w:val="continue"/>
            <w:tcBorders>
              <w:tl2br w:val="nil"/>
              <w:tr2bl w:val="nil"/>
            </w:tcBorders>
            <w:shd w:val="clear" w:color="auto" w:fill="auto"/>
            <w:vAlign w:val="center"/>
          </w:tcPr>
          <w:p w14:paraId="70829FAE">
            <w:pPr>
              <w:jc w:val="center"/>
              <w:rPr>
                <w:rFonts w:ascii="Times New Roman" w:hAnsi="Times New Roman" w:eastAsia="宋体" w:cs="Times New Roman"/>
                <w:color w:val="auto"/>
                <w:sz w:val="21"/>
                <w:szCs w:val="21"/>
              </w:rPr>
            </w:pPr>
          </w:p>
        </w:tc>
        <w:tc>
          <w:tcPr>
            <w:tcW w:w="1243" w:type="dxa"/>
            <w:vMerge w:val="continue"/>
            <w:tcBorders>
              <w:tl2br w:val="nil"/>
              <w:tr2bl w:val="nil"/>
            </w:tcBorders>
            <w:shd w:val="clear" w:color="auto" w:fill="auto"/>
            <w:vAlign w:val="center"/>
          </w:tcPr>
          <w:p w14:paraId="7B75823B">
            <w:pPr>
              <w:jc w:val="center"/>
              <w:rPr>
                <w:rFonts w:ascii="Times New Roman" w:hAnsi="Times New Roman" w:eastAsia="宋体" w:cs="Times New Roman"/>
                <w:color w:val="auto"/>
                <w:sz w:val="21"/>
                <w:szCs w:val="21"/>
              </w:rPr>
            </w:pPr>
          </w:p>
        </w:tc>
        <w:tc>
          <w:tcPr>
            <w:tcW w:w="825" w:type="dxa"/>
            <w:vMerge w:val="continue"/>
            <w:tcBorders>
              <w:tl2br w:val="nil"/>
              <w:tr2bl w:val="nil"/>
            </w:tcBorders>
            <w:shd w:val="clear" w:color="auto" w:fill="auto"/>
            <w:vAlign w:val="center"/>
          </w:tcPr>
          <w:p w14:paraId="18566AE0">
            <w:pPr>
              <w:jc w:val="center"/>
              <w:rPr>
                <w:rFonts w:ascii="Times New Roman" w:hAnsi="Times New Roman" w:eastAsia="宋体" w:cs="Times New Roman"/>
                <w:color w:val="auto"/>
                <w:sz w:val="21"/>
                <w:szCs w:val="21"/>
              </w:rPr>
            </w:pPr>
          </w:p>
        </w:tc>
        <w:tc>
          <w:tcPr>
            <w:tcW w:w="4148" w:type="dxa"/>
            <w:vMerge w:val="continue"/>
            <w:tcBorders>
              <w:tl2br w:val="nil"/>
              <w:tr2bl w:val="nil"/>
            </w:tcBorders>
            <w:shd w:val="clear" w:color="auto" w:fill="auto"/>
            <w:vAlign w:val="center"/>
          </w:tcPr>
          <w:p w14:paraId="61ACBF3A">
            <w:pPr>
              <w:jc w:val="center"/>
              <w:rPr>
                <w:rFonts w:ascii="Times New Roman" w:hAnsi="Times New Roman" w:eastAsia="宋体" w:cs="Times New Roman"/>
                <w:color w:val="auto"/>
                <w:sz w:val="21"/>
                <w:szCs w:val="21"/>
              </w:rPr>
            </w:pPr>
          </w:p>
        </w:tc>
        <w:tc>
          <w:tcPr>
            <w:tcW w:w="2154" w:type="dxa"/>
            <w:vMerge w:val="continue"/>
            <w:tcBorders>
              <w:tl2br w:val="nil"/>
              <w:tr2bl w:val="nil"/>
            </w:tcBorders>
            <w:shd w:val="clear" w:color="auto" w:fill="auto"/>
            <w:vAlign w:val="center"/>
          </w:tcPr>
          <w:p w14:paraId="4F55FC59">
            <w:pPr>
              <w:jc w:val="center"/>
              <w:rPr>
                <w:rFonts w:ascii="Times New Roman" w:hAnsi="Times New Roman" w:eastAsia="宋体" w:cs="Times New Roman"/>
                <w:color w:val="auto"/>
                <w:sz w:val="21"/>
                <w:szCs w:val="21"/>
              </w:rPr>
            </w:pPr>
          </w:p>
        </w:tc>
      </w:tr>
      <w:tr w14:paraId="76FAB2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2" w:hRule="atLeast"/>
          <w:jc w:val="center"/>
        </w:trPr>
        <w:tc>
          <w:tcPr>
            <w:tcW w:w="701" w:type="dxa"/>
            <w:vMerge w:val="restart"/>
            <w:tcBorders>
              <w:tl2br w:val="nil"/>
              <w:tr2bl w:val="nil"/>
            </w:tcBorders>
            <w:shd w:val="clear" w:color="auto" w:fill="auto"/>
            <w:vAlign w:val="center"/>
          </w:tcPr>
          <w:p w14:paraId="143365F6">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大气环境</w:t>
            </w:r>
          </w:p>
        </w:tc>
        <w:tc>
          <w:tcPr>
            <w:tcW w:w="1243" w:type="dxa"/>
            <w:tcBorders>
              <w:tl2br w:val="nil"/>
              <w:tr2bl w:val="nil"/>
            </w:tcBorders>
            <w:shd w:val="clear" w:color="auto" w:fill="auto"/>
            <w:vAlign w:val="center"/>
          </w:tcPr>
          <w:p w14:paraId="1E377871">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装卸</w:t>
            </w:r>
            <w:r>
              <w:rPr>
                <w:rFonts w:hint="eastAsia" w:ascii="Times New Roman" w:hAnsi="Times New Roman" w:eastAsia="宋体" w:cs="Times New Roman"/>
                <w:color w:val="auto"/>
                <w:sz w:val="21"/>
                <w:szCs w:val="21"/>
                <w:lang w:eastAsia="zh-CN"/>
              </w:rPr>
              <w:t>扬尘</w:t>
            </w:r>
          </w:p>
        </w:tc>
        <w:tc>
          <w:tcPr>
            <w:tcW w:w="825" w:type="dxa"/>
            <w:tcBorders>
              <w:tl2br w:val="nil"/>
              <w:tr2bl w:val="nil"/>
            </w:tcBorders>
            <w:shd w:val="clear" w:color="auto" w:fill="auto"/>
            <w:vAlign w:val="center"/>
          </w:tcPr>
          <w:p w14:paraId="429A9783">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颗粒物</w:t>
            </w:r>
          </w:p>
        </w:tc>
        <w:tc>
          <w:tcPr>
            <w:tcW w:w="4148" w:type="dxa"/>
            <w:tcBorders>
              <w:tl2br w:val="nil"/>
              <w:tr2bl w:val="nil"/>
            </w:tcBorders>
            <w:shd w:val="clear" w:color="auto" w:fill="auto"/>
            <w:vAlign w:val="center"/>
          </w:tcPr>
          <w:p w14:paraId="752FEBFF">
            <w:pPr>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highlight w:val="none"/>
                <w:lang w:eastAsia="zh-CN"/>
              </w:rPr>
              <w:t>设全封闭</w:t>
            </w:r>
            <w:r>
              <w:rPr>
                <w:rFonts w:hint="eastAsia" w:ascii="Times New Roman" w:hAnsi="Times New Roman" w:eastAsia="宋体" w:cs="Times New Roman"/>
                <w:color w:val="auto"/>
                <w:sz w:val="21"/>
                <w:szCs w:val="21"/>
                <w:highlight w:val="none"/>
                <w:lang w:val="en-US" w:eastAsia="zh-CN"/>
              </w:rPr>
              <w:t>车间，车辆出入口采用自动感应密闭门，</w:t>
            </w:r>
            <w:r>
              <w:rPr>
                <w:rFonts w:hint="default" w:ascii="Times New Roman" w:hAnsi="Times New Roman" w:eastAsia="宋体" w:cs="Times New Roman"/>
                <w:b w:val="0"/>
                <w:bCs w:val="0"/>
                <w:color w:val="auto"/>
                <w:sz w:val="21"/>
                <w:szCs w:val="21"/>
                <w:u w:val="none"/>
                <w:vertAlign w:val="baseline"/>
                <w:lang w:val="en-US" w:eastAsia="zh-CN"/>
              </w:rPr>
              <w:t>生产车间</w:t>
            </w:r>
            <w:r>
              <w:rPr>
                <w:rFonts w:hint="eastAsia" w:ascii="Times New Roman" w:hAnsi="Times New Roman" w:eastAsia="宋体" w:cs="Times New Roman"/>
                <w:b w:val="0"/>
                <w:bCs w:val="0"/>
                <w:color w:val="auto"/>
                <w:sz w:val="21"/>
                <w:szCs w:val="21"/>
                <w:u w:val="none"/>
                <w:vertAlign w:val="baseline"/>
                <w:lang w:val="en-US" w:eastAsia="zh-CN"/>
              </w:rPr>
              <w:t>、原料区</w:t>
            </w:r>
            <w:r>
              <w:rPr>
                <w:rFonts w:hint="default" w:ascii="Times New Roman" w:hAnsi="Times New Roman" w:eastAsia="宋体" w:cs="Times New Roman"/>
                <w:b w:val="0"/>
                <w:bCs w:val="0"/>
                <w:color w:val="auto"/>
                <w:sz w:val="21"/>
                <w:szCs w:val="21"/>
                <w:u w:val="none"/>
                <w:vertAlign w:val="baseline"/>
                <w:lang w:val="en-US" w:eastAsia="zh-CN"/>
              </w:rPr>
              <w:t>进出门应安装颗粒物监测微站和门禁视频监控</w:t>
            </w:r>
          </w:p>
        </w:tc>
        <w:tc>
          <w:tcPr>
            <w:tcW w:w="2154" w:type="dxa"/>
            <w:vMerge w:val="restart"/>
            <w:tcBorders>
              <w:tl2br w:val="nil"/>
              <w:tr2bl w:val="nil"/>
            </w:tcBorders>
            <w:shd w:val="clear" w:color="auto" w:fill="auto"/>
            <w:vAlign w:val="center"/>
          </w:tcPr>
          <w:p w14:paraId="26DE4502">
            <w:pPr>
              <w:widowControl/>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大气污染物综合排放标准</w:t>
            </w:r>
            <w:r>
              <w:rPr>
                <w:rFonts w:hint="eastAsia" w:ascii="Times New Roman" w:hAnsi="Times New Roman" w:eastAsia="宋体" w:cs="Times New Roman"/>
                <w:color w:val="auto"/>
                <w:sz w:val="21"/>
                <w:szCs w:val="21"/>
                <w:lang w:val="en-US" w:eastAsia="zh-CN"/>
              </w:rPr>
              <w:fldChar w:fldCharType="end"/>
            </w:r>
            <w:r>
              <w:rPr>
                <w:rFonts w:hint="eastAsia" w:ascii="Times New Roman" w:hAnsi="Times New Roman" w:eastAsia="宋体" w:cs="Times New Roman"/>
                <w:color w:val="auto"/>
                <w:sz w:val="21"/>
                <w:szCs w:val="21"/>
                <w:lang w:val="en-US" w:eastAsia="zh-CN"/>
              </w:rPr>
              <w:t>》（GB16297-1996）中表2排放限值</w:t>
            </w:r>
          </w:p>
        </w:tc>
      </w:tr>
      <w:tr w14:paraId="35966D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68" w:hRule="atLeast"/>
          <w:jc w:val="center"/>
        </w:trPr>
        <w:tc>
          <w:tcPr>
            <w:tcW w:w="701" w:type="dxa"/>
            <w:vMerge w:val="continue"/>
            <w:tcBorders>
              <w:tl2br w:val="nil"/>
              <w:tr2bl w:val="nil"/>
            </w:tcBorders>
            <w:shd w:val="clear" w:color="auto" w:fill="auto"/>
            <w:vAlign w:val="center"/>
          </w:tcPr>
          <w:p w14:paraId="7AE236E8">
            <w:pPr>
              <w:widowControl/>
              <w:jc w:val="center"/>
              <w:textAlignment w:val="center"/>
              <w:rPr>
                <w:rFonts w:ascii="Times New Roman" w:hAnsi="Times New Roman" w:eastAsia="宋体" w:cs="Times New Roman"/>
                <w:color w:val="auto"/>
                <w:sz w:val="21"/>
                <w:szCs w:val="21"/>
                <w:lang w:eastAsia="zh-CN"/>
              </w:rPr>
            </w:pPr>
          </w:p>
        </w:tc>
        <w:tc>
          <w:tcPr>
            <w:tcW w:w="1243" w:type="dxa"/>
            <w:tcBorders>
              <w:tl2br w:val="nil"/>
              <w:tr2bl w:val="nil"/>
            </w:tcBorders>
            <w:shd w:val="clear" w:color="auto" w:fill="auto"/>
            <w:vAlign w:val="center"/>
          </w:tcPr>
          <w:p w14:paraId="33DACA8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道路扬尘</w:t>
            </w:r>
          </w:p>
        </w:tc>
        <w:tc>
          <w:tcPr>
            <w:tcW w:w="825" w:type="dxa"/>
            <w:tcBorders>
              <w:tl2br w:val="nil"/>
              <w:tr2bl w:val="nil"/>
            </w:tcBorders>
            <w:shd w:val="clear" w:color="auto" w:fill="auto"/>
            <w:vAlign w:val="center"/>
          </w:tcPr>
          <w:p w14:paraId="77A12EE6">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颗粒物</w:t>
            </w:r>
          </w:p>
        </w:tc>
        <w:tc>
          <w:tcPr>
            <w:tcW w:w="4148" w:type="dxa"/>
            <w:tcBorders>
              <w:tl2br w:val="nil"/>
              <w:tr2bl w:val="nil"/>
            </w:tcBorders>
            <w:shd w:val="clear" w:color="auto" w:fill="auto"/>
            <w:vAlign w:val="center"/>
          </w:tcPr>
          <w:p w14:paraId="16F4D03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bCs/>
                <w:color w:val="auto"/>
                <w:sz w:val="21"/>
                <w:szCs w:val="21"/>
                <w:lang w:val="en-US" w:eastAsia="zh-CN"/>
              </w:rPr>
              <w:t>依托现有洗车平台</w:t>
            </w:r>
            <w:r>
              <w:rPr>
                <w:rFonts w:hint="eastAsia" w:ascii="Times New Roman" w:hAnsi="Times New Roman" w:eastAsia="宋体" w:cs="Times New Roman"/>
                <w:color w:val="auto"/>
                <w:sz w:val="21"/>
                <w:szCs w:val="21"/>
                <w:highlight w:val="none"/>
                <w:lang w:val="en-US" w:eastAsia="zh-CN"/>
              </w:rPr>
              <w:t>，运输车辆减速行驶</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运输车辆采用国五、国六运输车辆，装载机等非移动机械采用国三标准</w:t>
            </w:r>
            <w:r>
              <w:rPr>
                <w:rFonts w:hint="eastAsia" w:ascii="Times New Roman" w:hAnsi="Times New Roman" w:eastAsia="宋体" w:cs="Times New Roman"/>
                <w:color w:val="auto"/>
                <w:sz w:val="21"/>
                <w:szCs w:val="21"/>
                <w:highlight w:val="none"/>
                <w:lang w:eastAsia="zh-CN"/>
              </w:rPr>
              <w:t>）</w:t>
            </w:r>
          </w:p>
        </w:tc>
        <w:tc>
          <w:tcPr>
            <w:tcW w:w="2154" w:type="dxa"/>
            <w:vMerge w:val="continue"/>
            <w:tcBorders>
              <w:tl2br w:val="nil"/>
              <w:tr2bl w:val="nil"/>
            </w:tcBorders>
            <w:shd w:val="clear" w:color="auto" w:fill="auto"/>
            <w:vAlign w:val="center"/>
          </w:tcPr>
          <w:p w14:paraId="1B23DB98">
            <w:pPr>
              <w:widowControl/>
              <w:jc w:val="center"/>
              <w:textAlignment w:val="center"/>
              <w:rPr>
                <w:rFonts w:hint="eastAsia" w:ascii="Times New Roman" w:hAnsi="Times New Roman" w:eastAsia="宋体" w:cs="Times New Roman"/>
                <w:color w:val="auto"/>
                <w:sz w:val="21"/>
                <w:szCs w:val="21"/>
                <w:lang w:eastAsia="zh-CN"/>
              </w:rPr>
            </w:pPr>
          </w:p>
        </w:tc>
      </w:tr>
      <w:tr w14:paraId="317C68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701" w:type="dxa"/>
            <w:vMerge w:val="continue"/>
            <w:tcBorders>
              <w:tl2br w:val="nil"/>
              <w:tr2bl w:val="nil"/>
            </w:tcBorders>
            <w:shd w:val="clear" w:color="auto" w:fill="auto"/>
            <w:vAlign w:val="center"/>
          </w:tcPr>
          <w:p w14:paraId="16EA0A00">
            <w:pPr>
              <w:widowControl/>
              <w:jc w:val="center"/>
              <w:textAlignment w:val="center"/>
              <w:rPr>
                <w:rFonts w:ascii="Times New Roman" w:hAnsi="Times New Roman" w:eastAsia="宋体" w:cs="Times New Roman"/>
                <w:color w:val="auto"/>
                <w:sz w:val="21"/>
                <w:szCs w:val="21"/>
                <w:lang w:eastAsia="zh-CN"/>
              </w:rPr>
            </w:pPr>
          </w:p>
        </w:tc>
        <w:tc>
          <w:tcPr>
            <w:tcW w:w="1243" w:type="dxa"/>
            <w:tcBorders>
              <w:tl2br w:val="nil"/>
              <w:tr2bl w:val="nil"/>
            </w:tcBorders>
            <w:shd w:val="clear" w:color="auto" w:fill="auto"/>
            <w:vAlign w:val="center"/>
          </w:tcPr>
          <w:p w14:paraId="5FBECA8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输送粉尘</w:t>
            </w:r>
          </w:p>
        </w:tc>
        <w:tc>
          <w:tcPr>
            <w:tcW w:w="825" w:type="dxa"/>
            <w:tcBorders>
              <w:tl2br w:val="nil"/>
              <w:tr2bl w:val="nil"/>
            </w:tcBorders>
            <w:shd w:val="clear" w:color="auto" w:fill="auto"/>
            <w:vAlign w:val="center"/>
          </w:tcPr>
          <w:p w14:paraId="59985B4A">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颗粒物</w:t>
            </w:r>
          </w:p>
        </w:tc>
        <w:tc>
          <w:tcPr>
            <w:tcW w:w="4148" w:type="dxa"/>
            <w:tcBorders>
              <w:tl2br w:val="nil"/>
              <w:tr2bl w:val="nil"/>
            </w:tcBorders>
            <w:shd w:val="clear" w:color="auto" w:fill="auto"/>
            <w:vAlign w:val="center"/>
          </w:tcPr>
          <w:p w14:paraId="4AC06E3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输送皮带全封闭</w:t>
            </w:r>
          </w:p>
        </w:tc>
        <w:tc>
          <w:tcPr>
            <w:tcW w:w="2154" w:type="dxa"/>
            <w:vMerge w:val="continue"/>
            <w:tcBorders>
              <w:tl2br w:val="nil"/>
              <w:tr2bl w:val="nil"/>
            </w:tcBorders>
            <w:shd w:val="clear" w:color="auto" w:fill="auto"/>
            <w:vAlign w:val="center"/>
          </w:tcPr>
          <w:p w14:paraId="378673C4">
            <w:pPr>
              <w:widowControl/>
              <w:jc w:val="center"/>
              <w:textAlignment w:val="center"/>
              <w:rPr>
                <w:rFonts w:hint="eastAsia" w:ascii="Times New Roman" w:hAnsi="Times New Roman" w:eastAsia="宋体" w:cs="Times New Roman"/>
                <w:color w:val="auto"/>
                <w:sz w:val="21"/>
                <w:szCs w:val="21"/>
                <w:lang w:eastAsia="zh-CN"/>
              </w:rPr>
            </w:pPr>
          </w:p>
        </w:tc>
      </w:tr>
      <w:tr w14:paraId="04980B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6" w:hRule="atLeast"/>
          <w:jc w:val="center"/>
        </w:trPr>
        <w:tc>
          <w:tcPr>
            <w:tcW w:w="701" w:type="dxa"/>
            <w:vMerge w:val="continue"/>
            <w:tcBorders>
              <w:tl2br w:val="nil"/>
              <w:tr2bl w:val="nil"/>
            </w:tcBorders>
            <w:shd w:val="clear" w:color="auto" w:fill="auto"/>
            <w:vAlign w:val="center"/>
          </w:tcPr>
          <w:p w14:paraId="21833025">
            <w:pPr>
              <w:widowControl/>
              <w:jc w:val="center"/>
              <w:textAlignment w:val="center"/>
              <w:rPr>
                <w:rFonts w:ascii="Times New Roman" w:hAnsi="Times New Roman" w:eastAsia="宋体" w:cs="Times New Roman"/>
                <w:color w:val="auto"/>
                <w:sz w:val="21"/>
                <w:szCs w:val="21"/>
                <w:lang w:eastAsia="zh-CN"/>
              </w:rPr>
            </w:pPr>
          </w:p>
        </w:tc>
        <w:tc>
          <w:tcPr>
            <w:tcW w:w="1243" w:type="dxa"/>
            <w:tcBorders>
              <w:tl2br w:val="nil"/>
              <w:tr2bl w:val="nil"/>
            </w:tcBorders>
            <w:shd w:val="clear" w:color="auto" w:fill="auto"/>
            <w:vAlign w:val="center"/>
          </w:tcPr>
          <w:p w14:paraId="09AB329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破碎</w:t>
            </w:r>
            <w:r>
              <w:rPr>
                <w:rFonts w:hint="eastAsia" w:ascii="Times New Roman" w:hAnsi="Times New Roman" w:eastAsia="宋体" w:cs="Times New Roman"/>
                <w:color w:val="auto"/>
                <w:sz w:val="21"/>
                <w:szCs w:val="21"/>
                <w:highlight w:val="none"/>
                <w:lang w:val="en-US" w:eastAsia="zh-CN"/>
              </w:rPr>
              <w:t>粉尘</w:t>
            </w:r>
          </w:p>
        </w:tc>
        <w:tc>
          <w:tcPr>
            <w:tcW w:w="825" w:type="dxa"/>
            <w:tcBorders>
              <w:tl2br w:val="nil"/>
              <w:tr2bl w:val="nil"/>
            </w:tcBorders>
            <w:shd w:val="clear" w:color="auto" w:fill="auto"/>
            <w:vAlign w:val="center"/>
          </w:tcPr>
          <w:p w14:paraId="4AF81340">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颗粒物</w:t>
            </w:r>
          </w:p>
        </w:tc>
        <w:tc>
          <w:tcPr>
            <w:tcW w:w="4148" w:type="dxa"/>
            <w:vMerge w:val="restart"/>
            <w:tcBorders>
              <w:tl2br w:val="nil"/>
              <w:tr2bl w:val="nil"/>
            </w:tcBorders>
            <w:shd w:val="clear" w:color="auto" w:fill="auto"/>
            <w:vAlign w:val="center"/>
          </w:tcPr>
          <w:p w14:paraId="629C272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拟在上料机及破碎机设置2个集尘罩，筒仓全密闭设置集气管道，经1台布袋除尘器处理后通过1根15m高排气筒（DA001）排放。</w:t>
            </w:r>
          </w:p>
        </w:tc>
        <w:tc>
          <w:tcPr>
            <w:tcW w:w="2154" w:type="dxa"/>
            <w:vMerge w:val="restart"/>
            <w:tcBorders>
              <w:tl2br w:val="nil"/>
              <w:tr2bl w:val="nil"/>
            </w:tcBorders>
            <w:shd w:val="clear" w:color="auto" w:fill="auto"/>
            <w:vAlign w:val="center"/>
          </w:tcPr>
          <w:p w14:paraId="267E086E">
            <w:pPr>
              <w:widowControl/>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"https://www.eiacloud.com/hpyzs/lawsRegulations/searchDetail?id=299&amp;modelName=%E9%A6%96%E9%A1%B5" \t "https://www.eiacloud.com/hpyzs/lawsRegulations/_blank"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大气污染物综合排放标准</w:t>
            </w:r>
            <w:r>
              <w:rPr>
                <w:rFonts w:hint="eastAsia" w:ascii="Times New Roman" w:hAnsi="Times New Roman" w:eastAsia="宋体" w:cs="Times New Roman"/>
                <w:color w:val="auto"/>
                <w:sz w:val="21"/>
                <w:szCs w:val="21"/>
                <w:lang w:val="en-US" w:eastAsia="zh-CN"/>
              </w:rPr>
              <w:fldChar w:fldCharType="end"/>
            </w:r>
            <w:r>
              <w:rPr>
                <w:rFonts w:hint="eastAsia" w:ascii="Times New Roman" w:hAnsi="Times New Roman" w:eastAsia="宋体" w:cs="Times New Roman"/>
                <w:color w:val="auto"/>
                <w:sz w:val="21"/>
                <w:szCs w:val="21"/>
                <w:lang w:val="en-US" w:eastAsia="zh-CN"/>
              </w:rPr>
              <w:t>》（GB16297-1996）中表2排放限值</w:t>
            </w:r>
          </w:p>
        </w:tc>
      </w:tr>
      <w:tr w14:paraId="576BD6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6" w:hRule="atLeast"/>
          <w:jc w:val="center"/>
        </w:trPr>
        <w:tc>
          <w:tcPr>
            <w:tcW w:w="701" w:type="dxa"/>
            <w:vMerge w:val="continue"/>
            <w:tcBorders>
              <w:tl2br w:val="nil"/>
              <w:tr2bl w:val="nil"/>
            </w:tcBorders>
            <w:shd w:val="clear" w:color="auto" w:fill="auto"/>
            <w:vAlign w:val="center"/>
          </w:tcPr>
          <w:p w14:paraId="4663F0FD">
            <w:pPr>
              <w:widowControl/>
              <w:jc w:val="center"/>
              <w:textAlignment w:val="center"/>
              <w:rPr>
                <w:rFonts w:ascii="Times New Roman" w:hAnsi="Times New Roman" w:eastAsia="宋体" w:cs="Times New Roman"/>
                <w:color w:val="auto"/>
                <w:sz w:val="21"/>
                <w:szCs w:val="21"/>
                <w:lang w:eastAsia="zh-CN"/>
              </w:rPr>
            </w:pPr>
          </w:p>
        </w:tc>
        <w:tc>
          <w:tcPr>
            <w:tcW w:w="1243" w:type="dxa"/>
            <w:tcBorders>
              <w:tl2br w:val="nil"/>
              <w:tr2bl w:val="nil"/>
            </w:tcBorders>
            <w:shd w:val="clear" w:color="auto" w:fill="auto"/>
            <w:vAlign w:val="center"/>
          </w:tcPr>
          <w:p w14:paraId="4125820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筒仓粉尘</w:t>
            </w:r>
          </w:p>
        </w:tc>
        <w:tc>
          <w:tcPr>
            <w:tcW w:w="825" w:type="dxa"/>
            <w:tcBorders>
              <w:tl2br w:val="nil"/>
              <w:tr2bl w:val="nil"/>
            </w:tcBorders>
            <w:shd w:val="clear" w:color="auto" w:fill="auto"/>
            <w:vAlign w:val="center"/>
          </w:tcPr>
          <w:p w14:paraId="50713CC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4148" w:type="dxa"/>
            <w:vMerge w:val="continue"/>
            <w:tcBorders>
              <w:tl2br w:val="nil"/>
              <w:tr2bl w:val="nil"/>
            </w:tcBorders>
            <w:shd w:val="clear" w:color="auto" w:fill="auto"/>
            <w:vAlign w:val="center"/>
          </w:tcPr>
          <w:p w14:paraId="684F1D8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p>
        </w:tc>
        <w:tc>
          <w:tcPr>
            <w:tcW w:w="2154" w:type="dxa"/>
            <w:vMerge w:val="continue"/>
            <w:tcBorders>
              <w:tl2br w:val="nil"/>
              <w:tr2bl w:val="nil"/>
            </w:tcBorders>
            <w:shd w:val="clear" w:color="auto" w:fill="auto"/>
            <w:vAlign w:val="center"/>
          </w:tcPr>
          <w:p w14:paraId="322086A9">
            <w:pPr>
              <w:widowControl/>
              <w:jc w:val="center"/>
              <w:textAlignment w:val="center"/>
              <w:rPr>
                <w:rFonts w:hint="eastAsia" w:ascii="Times New Roman" w:hAnsi="Times New Roman" w:eastAsia="宋体" w:cs="Times New Roman"/>
                <w:color w:val="auto"/>
                <w:sz w:val="21"/>
                <w:szCs w:val="21"/>
                <w:lang w:val="en-US" w:eastAsia="zh-CN"/>
              </w:rPr>
            </w:pPr>
          </w:p>
        </w:tc>
      </w:tr>
      <w:tr w14:paraId="5F2FB1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6" w:hRule="atLeast"/>
          <w:jc w:val="center"/>
        </w:trPr>
        <w:tc>
          <w:tcPr>
            <w:tcW w:w="701" w:type="dxa"/>
            <w:tcBorders>
              <w:tl2br w:val="nil"/>
              <w:tr2bl w:val="nil"/>
            </w:tcBorders>
            <w:shd w:val="clear" w:color="auto" w:fill="auto"/>
            <w:vAlign w:val="center"/>
          </w:tcPr>
          <w:p w14:paraId="7894CB56">
            <w:pPr>
              <w:widowControl/>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地表水环境</w:t>
            </w:r>
          </w:p>
        </w:tc>
        <w:tc>
          <w:tcPr>
            <w:tcW w:w="1243" w:type="dxa"/>
            <w:tcBorders>
              <w:tl2br w:val="nil"/>
              <w:tr2bl w:val="nil"/>
            </w:tcBorders>
            <w:shd w:val="clear" w:color="auto" w:fill="auto"/>
            <w:vAlign w:val="center"/>
          </w:tcPr>
          <w:p w14:paraId="2C0FFB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初期雨水</w:t>
            </w:r>
          </w:p>
        </w:tc>
        <w:tc>
          <w:tcPr>
            <w:tcW w:w="825" w:type="dxa"/>
            <w:tcBorders>
              <w:tl2br w:val="nil"/>
              <w:tr2bl w:val="nil"/>
            </w:tcBorders>
            <w:shd w:val="clear" w:color="auto" w:fill="auto"/>
            <w:vAlign w:val="center"/>
          </w:tcPr>
          <w:p w14:paraId="4A5AB12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SS</w:t>
            </w:r>
          </w:p>
        </w:tc>
        <w:tc>
          <w:tcPr>
            <w:tcW w:w="4148" w:type="dxa"/>
            <w:tcBorders>
              <w:tl2br w:val="nil"/>
              <w:tr2bl w:val="nil"/>
            </w:tcBorders>
            <w:shd w:val="clear" w:color="auto" w:fill="auto"/>
            <w:vAlign w:val="center"/>
          </w:tcPr>
          <w:p w14:paraId="57AE708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经初期雨水池收集后回用于厂区抑尘洒水不外排</w:t>
            </w:r>
          </w:p>
        </w:tc>
        <w:tc>
          <w:tcPr>
            <w:tcW w:w="2154" w:type="dxa"/>
            <w:tcBorders>
              <w:tl2br w:val="nil"/>
              <w:tr2bl w:val="nil"/>
            </w:tcBorders>
            <w:shd w:val="clear" w:color="auto" w:fill="auto"/>
            <w:vAlign w:val="center"/>
          </w:tcPr>
          <w:p w14:paraId="594966FE">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179884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07" w:hRule="atLeast"/>
          <w:jc w:val="center"/>
        </w:trPr>
        <w:tc>
          <w:tcPr>
            <w:tcW w:w="701" w:type="dxa"/>
            <w:tcBorders>
              <w:tl2br w:val="nil"/>
              <w:tr2bl w:val="nil"/>
            </w:tcBorders>
            <w:shd w:val="clear" w:color="auto" w:fill="auto"/>
            <w:vAlign w:val="center"/>
          </w:tcPr>
          <w:p w14:paraId="30E1F9AE">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声环境</w:t>
            </w:r>
          </w:p>
        </w:tc>
        <w:tc>
          <w:tcPr>
            <w:tcW w:w="1243" w:type="dxa"/>
            <w:tcBorders>
              <w:tl2br w:val="nil"/>
              <w:tr2bl w:val="nil"/>
            </w:tcBorders>
            <w:shd w:val="clear" w:color="auto" w:fill="auto"/>
            <w:vAlign w:val="center"/>
          </w:tcPr>
          <w:p w14:paraId="4C615593">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设备</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rPr>
              <w:t>运输车辆、装载机等</w:t>
            </w:r>
          </w:p>
        </w:tc>
        <w:tc>
          <w:tcPr>
            <w:tcW w:w="825" w:type="dxa"/>
            <w:tcBorders>
              <w:tl2br w:val="nil"/>
              <w:tr2bl w:val="nil"/>
            </w:tcBorders>
            <w:shd w:val="clear" w:color="auto" w:fill="auto"/>
            <w:vAlign w:val="center"/>
          </w:tcPr>
          <w:p w14:paraId="256F0BB1">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Leq</w:t>
            </w:r>
          </w:p>
        </w:tc>
        <w:tc>
          <w:tcPr>
            <w:tcW w:w="4148" w:type="dxa"/>
            <w:tcBorders>
              <w:tl2br w:val="nil"/>
              <w:tr2bl w:val="nil"/>
            </w:tcBorders>
            <w:shd w:val="clear" w:color="auto" w:fill="auto"/>
            <w:vAlign w:val="center"/>
          </w:tcPr>
          <w:p w14:paraId="7AB25670">
            <w:pPr>
              <w:widowControl/>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eastAsia="zh-CN"/>
              </w:rPr>
              <w:t>选用低噪设备、生产设备全部位于室内，</w:t>
            </w:r>
            <w:r>
              <w:rPr>
                <w:rFonts w:hint="eastAsia" w:ascii="Times New Roman" w:hAnsi="Times New Roman" w:eastAsia="宋体" w:cs="Times New Roman"/>
                <w:color w:val="auto"/>
                <w:sz w:val="21"/>
                <w:szCs w:val="21"/>
                <w:highlight w:val="none"/>
                <w:lang w:val="en-US" w:eastAsia="zh-CN"/>
              </w:rPr>
              <w:t>设置</w:t>
            </w:r>
            <w:r>
              <w:rPr>
                <w:rFonts w:hint="eastAsia" w:ascii="Times New Roman" w:hAnsi="Times New Roman" w:eastAsia="宋体" w:cs="Times New Roman"/>
                <w:color w:val="auto"/>
                <w:sz w:val="21"/>
                <w:szCs w:val="21"/>
                <w:highlight w:val="none"/>
                <w:lang w:eastAsia="zh-CN"/>
              </w:rPr>
              <w:t>基础减震、建筑物隔声等</w:t>
            </w:r>
            <w:r>
              <w:rPr>
                <w:rFonts w:hint="eastAsia" w:ascii="Times New Roman" w:hAnsi="Times New Roman" w:eastAsia="宋体" w:cs="Times New Roman"/>
                <w:color w:val="auto"/>
                <w:sz w:val="21"/>
                <w:szCs w:val="21"/>
                <w:highlight w:val="none"/>
                <w:lang w:val="en-US" w:eastAsia="zh-CN"/>
              </w:rPr>
              <w:t>措施</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lang w:eastAsia="zh-CN"/>
              </w:rPr>
              <w:t>运输车辆限速、禁鸣笛；装载机定期维护保持良好工况</w:t>
            </w:r>
          </w:p>
        </w:tc>
        <w:tc>
          <w:tcPr>
            <w:tcW w:w="2154" w:type="dxa"/>
            <w:tcBorders>
              <w:tl2br w:val="nil"/>
              <w:tr2bl w:val="nil"/>
            </w:tcBorders>
            <w:shd w:val="clear" w:color="auto" w:fill="auto"/>
            <w:vAlign w:val="center"/>
          </w:tcPr>
          <w:p w14:paraId="7E94F2DB">
            <w:pPr>
              <w:widowControl/>
              <w:jc w:val="center"/>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《工业企业厂界环境噪声排放标准》(GB12348-2008)中的</w:t>
            </w:r>
            <w:r>
              <w:rPr>
                <w:rFonts w:hint="eastAsia" w:ascii="Times New Roman" w:hAnsi="Times New Roman" w:eastAsia="宋体" w:cs="Times New Roman"/>
                <w:color w:val="auto"/>
                <w:sz w:val="21"/>
                <w:szCs w:val="21"/>
                <w:lang w:val="en-US" w:eastAsia="zh-CN"/>
              </w:rPr>
              <w:t>2类</w:t>
            </w:r>
            <w:r>
              <w:rPr>
                <w:rFonts w:ascii="Times New Roman" w:hAnsi="Times New Roman" w:eastAsia="宋体" w:cs="Times New Roman"/>
                <w:color w:val="auto"/>
                <w:sz w:val="21"/>
                <w:szCs w:val="21"/>
                <w:lang w:eastAsia="zh-CN"/>
              </w:rPr>
              <w:t>标准</w:t>
            </w:r>
          </w:p>
        </w:tc>
      </w:tr>
      <w:tr w14:paraId="491885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1" w:hRule="atLeast"/>
          <w:jc w:val="center"/>
        </w:trPr>
        <w:tc>
          <w:tcPr>
            <w:tcW w:w="701" w:type="dxa"/>
            <w:vMerge w:val="restart"/>
            <w:tcBorders>
              <w:tl2br w:val="nil"/>
              <w:tr2bl w:val="nil"/>
            </w:tcBorders>
            <w:shd w:val="clear" w:color="auto" w:fill="auto"/>
            <w:vAlign w:val="center"/>
          </w:tcPr>
          <w:p w14:paraId="1861B7A3">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highlight w:val="none"/>
                <w:lang w:eastAsia="zh-CN"/>
              </w:rPr>
              <w:t>固体废物</w:t>
            </w:r>
          </w:p>
        </w:tc>
        <w:tc>
          <w:tcPr>
            <w:tcW w:w="1243" w:type="dxa"/>
            <w:tcBorders>
              <w:tl2br w:val="nil"/>
              <w:tr2bl w:val="nil"/>
            </w:tcBorders>
            <w:shd w:val="clear" w:color="auto" w:fill="auto"/>
            <w:vAlign w:val="center"/>
          </w:tcPr>
          <w:p w14:paraId="7EF923A3">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除尘灰</w:t>
            </w:r>
          </w:p>
        </w:tc>
        <w:tc>
          <w:tcPr>
            <w:tcW w:w="825" w:type="dxa"/>
            <w:tcBorders>
              <w:tl2br w:val="nil"/>
              <w:tr2bl w:val="nil"/>
            </w:tcBorders>
            <w:shd w:val="clear" w:color="auto" w:fill="auto"/>
            <w:vAlign w:val="center"/>
          </w:tcPr>
          <w:p w14:paraId="11D400E5">
            <w:pPr>
              <w:widowControl/>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除尘灰</w:t>
            </w:r>
          </w:p>
        </w:tc>
        <w:tc>
          <w:tcPr>
            <w:tcW w:w="4148" w:type="dxa"/>
            <w:tcBorders>
              <w:tl2br w:val="nil"/>
              <w:tr2bl w:val="nil"/>
            </w:tcBorders>
            <w:shd w:val="clear" w:color="auto" w:fill="auto"/>
            <w:vAlign w:val="center"/>
          </w:tcPr>
          <w:p w14:paraId="2C3B046F">
            <w:pPr>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作为成品外售</w:t>
            </w:r>
          </w:p>
        </w:tc>
        <w:tc>
          <w:tcPr>
            <w:tcW w:w="2154" w:type="dxa"/>
            <w:tcBorders>
              <w:tl2br w:val="nil"/>
              <w:tr2bl w:val="nil"/>
            </w:tcBorders>
            <w:shd w:val="clear" w:color="auto" w:fill="auto"/>
            <w:vAlign w:val="center"/>
          </w:tcPr>
          <w:p w14:paraId="5510A47C">
            <w:pPr>
              <w:widowControl/>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《一般工业固体废物贮存和填埋污染控制标准》（GB 18599-2020）</w:t>
            </w:r>
          </w:p>
        </w:tc>
      </w:tr>
      <w:tr w14:paraId="1E462F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01" w:type="dxa"/>
            <w:vMerge w:val="continue"/>
            <w:tcBorders>
              <w:tl2br w:val="nil"/>
              <w:tr2bl w:val="nil"/>
            </w:tcBorders>
            <w:shd w:val="clear" w:color="auto" w:fill="auto"/>
            <w:vAlign w:val="center"/>
          </w:tcPr>
          <w:p w14:paraId="3FCBD634">
            <w:pPr>
              <w:widowControl/>
              <w:jc w:val="center"/>
              <w:textAlignment w:val="center"/>
              <w:rPr>
                <w:rFonts w:ascii="Times New Roman" w:hAnsi="Times New Roman" w:eastAsia="宋体" w:cs="Times New Roman"/>
                <w:color w:val="auto"/>
                <w:sz w:val="21"/>
                <w:szCs w:val="21"/>
                <w:lang w:eastAsia="zh-CN"/>
              </w:rPr>
            </w:pPr>
          </w:p>
        </w:tc>
        <w:tc>
          <w:tcPr>
            <w:tcW w:w="1243" w:type="dxa"/>
            <w:tcBorders>
              <w:tl2br w:val="nil"/>
              <w:tr2bl w:val="nil"/>
            </w:tcBorders>
            <w:shd w:val="clear" w:color="auto" w:fill="auto"/>
            <w:vAlign w:val="center"/>
          </w:tcPr>
          <w:p w14:paraId="2F066D54">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eastAsia="zh-CN"/>
              </w:rPr>
              <w:t>危险废物</w:t>
            </w:r>
          </w:p>
        </w:tc>
        <w:tc>
          <w:tcPr>
            <w:tcW w:w="825" w:type="dxa"/>
            <w:tcBorders>
              <w:tl2br w:val="nil"/>
              <w:tr2bl w:val="nil"/>
            </w:tcBorders>
            <w:shd w:val="clear" w:color="auto" w:fill="auto"/>
            <w:vAlign w:val="center"/>
          </w:tcPr>
          <w:p w14:paraId="4184D781">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eastAsia="zh-CN"/>
              </w:rPr>
              <w:t>废矿物油、废矿物油桶</w:t>
            </w:r>
          </w:p>
        </w:tc>
        <w:tc>
          <w:tcPr>
            <w:tcW w:w="4148" w:type="dxa"/>
            <w:tcBorders>
              <w:tl2br w:val="nil"/>
              <w:tr2bl w:val="nil"/>
            </w:tcBorders>
            <w:shd w:val="clear" w:color="auto" w:fill="auto"/>
            <w:vAlign w:val="center"/>
          </w:tcPr>
          <w:p w14:paraId="64439F00">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废矿物油及废油桶暂存于现有10m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危险废物临时贮存库并交由资质单位处置</w:t>
            </w:r>
          </w:p>
        </w:tc>
        <w:tc>
          <w:tcPr>
            <w:tcW w:w="2154" w:type="dxa"/>
            <w:tcBorders>
              <w:tl2br w:val="nil"/>
              <w:tr2bl w:val="nil"/>
            </w:tcBorders>
            <w:shd w:val="clear" w:color="auto" w:fill="auto"/>
            <w:vAlign w:val="center"/>
          </w:tcPr>
          <w:p w14:paraId="4B0F4C2C">
            <w:pPr>
              <w:widowControl/>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eastAsia="zh-CN"/>
              </w:rPr>
              <w:t>《危险废物贮存污染控制标准》（GB18597-2023）</w:t>
            </w:r>
          </w:p>
        </w:tc>
      </w:tr>
      <w:tr w14:paraId="1085F6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26" w:hRule="atLeast"/>
          <w:jc w:val="center"/>
        </w:trPr>
        <w:tc>
          <w:tcPr>
            <w:tcW w:w="701" w:type="dxa"/>
            <w:tcBorders>
              <w:tl2br w:val="nil"/>
              <w:tr2bl w:val="nil"/>
            </w:tcBorders>
            <w:shd w:val="clear" w:color="auto" w:fill="auto"/>
            <w:vAlign w:val="center"/>
          </w:tcPr>
          <w:p w14:paraId="76C7BF43">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土壤及地下水</w:t>
            </w:r>
          </w:p>
        </w:tc>
        <w:tc>
          <w:tcPr>
            <w:tcW w:w="8370" w:type="dxa"/>
            <w:gridSpan w:val="4"/>
            <w:tcBorders>
              <w:tl2br w:val="nil"/>
              <w:tr2bl w:val="nil"/>
            </w:tcBorders>
            <w:shd w:val="clear" w:color="auto" w:fill="auto"/>
            <w:vAlign w:val="center"/>
          </w:tcPr>
          <w:p w14:paraId="691A0A60">
            <w:pPr>
              <w:widowControl/>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危险废物临时贮存库进行重点防渗，生产车间及其他地面进行简单防渗处理</w:t>
            </w:r>
            <w:r>
              <w:rPr>
                <w:rFonts w:ascii="Times New Roman" w:hAnsi="Times New Roman" w:eastAsia="宋体" w:cs="Times New Roman"/>
                <w:color w:val="auto"/>
                <w:sz w:val="21"/>
                <w:szCs w:val="21"/>
                <w:lang w:eastAsia="zh-CN"/>
              </w:rPr>
              <w:t>。确保不会对土壤及地下水产生影响。</w:t>
            </w:r>
          </w:p>
        </w:tc>
      </w:tr>
      <w:tr w14:paraId="5D5B1D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1" w:hRule="atLeast"/>
          <w:jc w:val="center"/>
        </w:trPr>
        <w:tc>
          <w:tcPr>
            <w:tcW w:w="701" w:type="dxa"/>
            <w:tcBorders>
              <w:tl2br w:val="nil"/>
              <w:tr2bl w:val="nil"/>
            </w:tcBorders>
            <w:shd w:val="clear" w:color="auto" w:fill="auto"/>
            <w:vAlign w:val="center"/>
          </w:tcPr>
          <w:p w14:paraId="0B39E89E">
            <w:pPr>
              <w:widowControl/>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生态保护措施</w:t>
            </w:r>
          </w:p>
        </w:tc>
        <w:tc>
          <w:tcPr>
            <w:tcW w:w="8370" w:type="dxa"/>
            <w:gridSpan w:val="4"/>
            <w:tcBorders>
              <w:tl2br w:val="nil"/>
              <w:tr2bl w:val="nil"/>
            </w:tcBorders>
            <w:shd w:val="clear" w:color="auto" w:fill="auto"/>
            <w:vAlign w:val="center"/>
          </w:tcPr>
          <w:p w14:paraId="1DAC0913">
            <w:pPr>
              <w:widowControl/>
              <w:jc w:val="both"/>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控制占地范围，加强厂区及周边绿化</w:t>
            </w:r>
          </w:p>
        </w:tc>
      </w:tr>
      <w:tr w14:paraId="57A2CA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3" w:hRule="atLeast"/>
          <w:jc w:val="center"/>
        </w:trPr>
        <w:tc>
          <w:tcPr>
            <w:tcW w:w="701" w:type="dxa"/>
            <w:tcBorders>
              <w:tl2br w:val="nil"/>
              <w:tr2bl w:val="nil"/>
            </w:tcBorders>
            <w:shd w:val="clear" w:color="auto" w:fill="auto"/>
            <w:vAlign w:val="center"/>
          </w:tcPr>
          <w:p w14:paraId="36D93164">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环境风险防范措施</w:t>
            </w:r>
          </w:p>
        </w:tc>
        <w:tc>
          <w:tcPr>
            <w:tcW w:w="8370" w:type="dxa"/>
            <w:gridSpan w:val="4"/>
            <w:tcBorders>
              <w:tl2br w:val="nil"/>
              <w:tr2bl w:val="nil"/>
            </w:tcBorders>
            <w:shd w:val="clear" w:color="auto" w:fill="auto"/>
            <w:vAlign w:val="center"/>
          </w:tcPr>
          <w:p w14:paraId="34C6B5DD">
            <w:pPr>
              <w:widowControl/>
              <w:jc w:val="both"/>
              <w:textAlignment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为了防范事故和减少危害，制定</w:t>
            </w:r>
            <w:r>
              <w:rPr>
                <w:rFonts w:hint="eastAsia" w:ascii="Times New Roman" w:hAnsi="Times New Roman" w:eastAsia="宋体" w:cs="Times New Roman"/>
                <w:color w:val="auto"/>
                <w:sz w:val="21"/>
                <w:szCs w:val="21"/>
                <w:lang w:val="en-US" w:eastAsia="zh-CN"/>
              </w:rPr>
              <w:t>突发环境事件</w:t>
            </w:r>
            <w:r>
              <w:rPr>
                <w:rFonts w:ascii="Times New Roman" w:hAnsi="Times New Roman" w:eastAsia="宋体" w:cs="Times New Roman"/>
                <w:color w:val="auto"/>
                <w:sz w:val="21"/>
                <w:szCs w:val="21"/>
                <w:lang w:eastAsia="zh-CN"/>
              </w:rPr>
              <w:t>应急预案。发生事故时，采取相应的应急措施，以控制事故和减少对环境造成的危害</w:t>
            </w:r>
            <w:r>
              <w:rPr>
                <w:rFonts w:hint="eastAsia" w:ascii="Times New Roman" w:hAnsi="Times New Roman" w:eastAsia="宋体" w:cs="Times New Roman"/>
                <w:color w:val="000000" w:themeColor="text1"/>
                <w:sz w:val="21"/>
                <w:szCs w:val="21"/>
                <w:highlight w:val="none"/>
                <w:lang w:eastAsia="zh-CN"/>
              </w:rPr>
              <w:t>。</w:t>
            </w:r>
          </w:p>
        </w:tc>
      </w:tr>
      <w:tr w14:paraId="002331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6" w:hRule="atLeast"/>
          <w:jc w:val="center"/>
        </w:trPr>
        <w:tc>
          <w:tcPr>
            <w:tcW w:w="701" w:type="dxa"/>
            <w:tcBorders>
              <w:tl2br w:val="nil"/>
              <w:tr2bl w:val="nil"/>
            </w:tcBorders>
            <w:shd w:val="clear" w:color="auto" w:fill="auto"/>
            <w:vAlign w:val="center"/>
          </w:tcPr>
          <w:p w14:paraId="2A8D47BF">
            <w:pPr>
              <w:widowControl/>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其他环境管理要求</w:t>
            </w:r>
          </w:p>
        </w:tc>
        <w:tc>
          <w:tcPr>
            <w:tcW w:w="8370" w:type="dxa"/>
            <w:gridSpan w:val="4"/>
            <w:tcBorders>
              <w:tl2br w:val="nil"/>
              <w:tr2bl w:val="nil"/>
            </w:tcBorders>
            <w:shd w:val="clear" w:color="auto" w:fill="auto"/>
            <w:vAlign w:val="center"/>
          </w:tcPr>
          <w:p w14:paraId="2A732623">
            <w:pPr>
              <w:ind w:firstLine="420" w:firstLineChars="200"/>
              <w:jc w:val="both"/>
              <w:rPr>
                <w:rFonts w:hint="default"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1</w:t>
            </w:r>
            <w:r>
              <w:rPr>
                <w:rFonts w:hint="eastAsia" w:ascii="Times New Roman" w:hAnsi="Times New Roman" w:eastAsia="宋体" w:cs="Times New Roman"/>
                <w:bCs/>
                <w:color w:val="auto"/>
                <w:sz w:val="21"/>
                <w:szCs w:val="21"/>
                <w:highlight w:val="none"/>
                <w:lang w:eastAsia="zh-CN"/>
              </w:rPr>
              <w:t>）排污口规范化管理</w:t>
            </w:r>
          </w:p>
          <w:p w14:paraId="5ABEBA2A">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企业遵照国家对排污口规范的要求，“三废”及噪声排放点设置明显标志，标志的设置应执行《环境保护图形标志排放口》（GB15562.1－1995）、《环境保护图形标志固体废物贮存（处置）场》（GB15562.2-1995）</w:t>
            </w:r>
            <w:r>
              <w:rPr>
                <w:rFonts w:hint="eastAsia" w:ascii="Times New Roman" w:hAnsi="Times New Roman" w:eastAsia="宋体" w:cs="Times New Roman"/>
                <w:bCs/>
                <w:color w:val="auto"/>
                <w:sz w:val="21"/>
                <w:szCs w:val="21"/>
                <w:highlight w:val="none"/>
                <w:lang w:val="en-US" w:eastAsia="zh-CN"/>
              </w:rPr>
              <w:t>及修改单</w:t>
            </w: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《危险废物贮存污染控制标准（GB18597-2023）》和《危险废物识别标志设置技术规范（HJ 1276-2022）》要求</w:t>
            </w:r>
            <w:r>
              <w:rPr>
                <w:rFonts w:hint="default" w:ascii="Times New Roman" w:hAnsi="Times New Roman" w:eastAsia="宋体" w:cs="Times New Roman"/>
                <w:bCs/>
                <w:color w:val="auto"/>
                <w:sz w:val="21"/>
                <w:szCs w:val="21"/>
                <w:highlight w:val="none"/>
                <w:lang w:eastAsia="zh-CN"/>
              </w:rPr>
              <w:t>中有关规定，</w:t>
            </w:r>
            <w:r>
              <w:rPr>
                <w:rFonts w:hint="eastAsia" w:ascii="Times New Roman" w:hAnsi="Times New Roman" w:eastAsia="宋体" w:cs="Times New Roman"/>
                <w:bCs/>
                <w:color w:val="auto"/>
                <w:sz w:val="21"/>
                <w:szCs w:val="21"/>
                <w:highlight w:val="none"/>
                <w:lang w:val="en-US" w:eastAsia="zh-CN"/>
              </w:rPr>
              <w:t>见下表</w:t>
            </w:r>
            <w:r>
              <w:rPr>
                <w:rFonts w:hint="default" w:ascii="Times New Roman" w:hAnsi="Times New Roman" w:eastAsia="宋体" w:cs="Times New Roman"/>
                <w:bCs/>
                <w:color w:val="auto"/>
                <w:sz w:val="21"/>
                <w:szCs w:val="21"/>
                <w:highlight w:val="none"/>
                <w:lang w:eastAsia="zh-CN"/>
              </w:rPr>
              <w:t>。</w:t>
            </w:r>
          </w:p>
          <w:p w14:paraId="5B0526A6">
            <w:pPr>
              <w:ind w:firstLine="422" w:firstLineChars="200"/>
              <w:jc w:val="center"/>
              <w:rPr>
                <w:rFonts w:hint="default" w:ascii="Times New Roman" w:hAnsi="Times New Roman" w:eastAsia="宋体" w:cs="Times New Roman"/>
                <w:b/>
                <w:bCs w:val="0"/>
                <w:color w:val="auto"/>
                <w:sz w:val="21"/>
                <w:szCs w:val="21"/>
                <w:highlight w:val="none"/>
                <w:lang w:eastAsia="zh-CN"/>
              </w:rPr>
            </w:pPr>
            <w:r>
              <w:rPr>
                <w:rFonts w:hint="eastAsia" w:ascii="Times New Roman" w:hAnsi="Times New Roman" w:eastAsia="宋体" w:cs="Times New Roman"/>
                <w:b/>
                <w:bCs w:val="0"/>
                <w:color w:val="auto"/>
                <w:sz w:val="21"/>
                <w:szCs w:val="21"/>
                <w:highlight w:val="none"/>
                <w:lang w:val="en-US" w:eastAsia="zh-CN"/>
              </w:rPr>
              <w:t>表5-1</w:t>
            </w:r>
            <w:r>
              <w:rPr>
                <w:rFonts w:hint="eastAsia" w:ascii="Times New Roman" w:hAnsi="Times New Roman" w:eastAsia="宋体" w:cs="Times New Roman"/>
                <w:b/>
                <w:bCs w:val="0"/>
                <w:color w:val="auto"/>
                <w:sz w:val="21"/>
                <w:szCs w:val="21"/>
                <w:highlight w:val="none"/>
                <w:lang w:eastAsia="zh-CN"/>
              </w:rPr>
              <w:t xml:space="preserve"> </w:t>
            </w:r>
            <w:r>
              <w:rPr>
                <w:rFonts w:hint="default" w:ascii="Times New Roman" w:hAnsi="Times New Roman" w:eastAsia="宋体" w:cs="Times New Roman"/>
                <w:b/>
                <w:bCs w:val="0"/>
                <w:color w:val="auto"/>
                <w:sz w:val="21"/>
                <w:szCs w:val="21"/>
                <w:highlight w:val="none"/>
                <w:lang w:eastAsia="zh-CN"/>
              </w:rPr>
              <w:t>“三废”及噪声排放点标志</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1829"/>
              <w:gridCol w:w="1848"/>
              <w:gridCol w:w="1979"/>
              <w:gridCol w:w="1480"/>
            </w:tblGrid>
            <w:tr w14:paraId="3DF1A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tcBorders>
                    <w:tl2br w:val="nil"/>
                    <w:tr2bl w:val="nil"/>
                  </w:tcBorders>
                  <w:vAlign w:val="center"/>
                </w:tcPr>
                <w:p w14:paraId="10714694">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排放口</w:t>
                  </w:r>
                </w:p>
              </w:tc>
              <w:tc>
                <w:tcPr>
                  <w:tcW w:w="1831" w:type="dxa"/>
                  <w:tcBorders>
                    <w:tl2br w:val="nil"/>
                    <w:tr2bl w:val="nil"/>
                  </w:tcBorders>
                  <w:vAlign w:val="center"/>
                </w:tcPr>
                <w:p w14:paraId="1BDCAF1C">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废气排放口</w:t>
                  </w:r>
                </w:p>
              </w:tc>
              <w:tc>
                <w:tcPr>
                  <w:tcW w:w="1850" w:type="dxa"/>
                  <w:tcBorders>
                    <w:tl2br w:val="nil"/>
                    <w:tr2bl w:val="nil"/>
                  </w:tcBorders>
                  <w:vAlign w:val="center"/>
                </w:tcPr>
                <w:p w14:paraId="5567B42C">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噪声源</w:t>
                  </w:r>
                </w:p>
              </w:tc>
              <w:tc>
                <w:tcPr>
                  <w:tcW w:w="1981" w:type="dxa"/>
                  <w:tcBorders>
                    <w:tl2br w:val="nil"/>
                    <w:tr2bl w:val="nil"/>
                  </w:tcBorders>
                  <w:vAlign w:val="center"/>
                </w:tcPr>
                <w:p w14:paraId="45F5E428">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固体废物</w:t>
                  </w:r>
                </w:p>
                <w:p w14:paraId="79D9CBA3">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堆场</w:t>
                  </w:r>
                </w:p>
              </w:tc>
              <w:tc>
                <w:tcPr>
                  <w:tcW w:w="1482" w:type="dxa"/>
                  <w:tcBorders>
                    <w:tl2br w:val="nil"/>
                    <w:tr2bl w:val="nil"/>
                  </w:tcBorders>
                  <w:vAlign w:val="center"/>
                </w:tcPr>
                <w:p w14:paraId="16C6B919">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危险</w:t>
                  </w:r>
                  <w:r>
                    <w:rPr>
                      <w:rFonts w:hint="default" w:ascii="Times New Roman" w:hAnsi="Times New Roman" w:eastAsia="宋体" w:cs="Times New Roman"/>
                      <w:b w:val="0"/>
                      <w:bCs w:val="0"/>
                      <w:color w:val="auto"/>
                      <w:sz w:val="21"/>
                      <w:szCs w:val="21"/>
                      <w:highlight w:val="none"/>
                    </w:rPr>
                    <w:t>废物</w:t>
                  </w:r>
                </w:p>
                <w:p w14:paraId="48B06D96">
                  <w:pPr>
                    <w:pStyle w:val="12"/>
                    <w:ind w:left="0" w:lef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标识</w:t>
                  </w:r>
                </w:p>
              </w:tc>
            </w:tr>
            <w:tr w14:paraId="31B2A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tcBorders>
                    <w:tl2br w:val="nil"/>
                    <w:tr2bl w:val="nil"/>
                  </w:tcBorders>
                  <w:vAlign w:val="center"/>
                </w:tcPr>
                <w:p w14:paraId="2B89FDAC">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图形符号</w:t>
                  </w:r>
                </w:p>
              </w:tc>
              <w:tc>
                <w:tcPr>
                  <w:tcW w:w="1831" w:type="dxa"/>
                  <w:tcBorders>
                    <w:tl2br w:val="nil"/>
                    <w:tr2bl w:val="nil"/>
                  </w:tcBorders>
                  <w:vAlign w:val="center"/>
                </w:tcPr>
                <w:p w14:paraId="53CEA55E">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791210" cy="791210"/>
                        <wp:effectExtent l="0" t="0" r="8890" b="8890"/>
                        <wp:docPr id="162" name="图片 24" descr="废气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4" descr="废气排放口"/>
                                <pic:cNvPicPr>
                                  <a:picLocks noChangeAspect="1"/>
                                </pic:cNvPicPr>
                              </pic:nvPicPr>
                              <pic:blipFill>
                                <a:blip r:embed="rId46"/>
                                <a:stretch>
                                  <a:fillRect/>
                                </a:stretch>
                              </pic:blipFill>
                              <pic:spPr>
                                <a:xfrm>
                                  <a:off x="0" y="0"/>
                                  <a:ext cx="791210" cy="791210"/>
                                </a:xfrm>
                                <a:prstGeom prst="rect">
                                  <a:avLst/>
                                </a:prstGeom>
                                <a:noFill/>
                                <a:ln>
                                  <a:noFill/>
                                </a:ln>
                              </pic:spPr>
                            </pic:pic>
                          </a:graphicData>
                        </a:graphic>
                      </wp:inline>
                    </w:drawing>
                  </w:r>
                </w:p>
              </w:tc>
              <w:tc>
                <w:tcPr>
                  <w:tcW w:w="1850" w:type="dxa"/>
                  <w:tcBorders>
                    <w:tl2br w:val="nil"/>
                    <w:tr2bl w:val="nil"/>
                  </w:tcBorders>
                  <w:vAlign w:val="center"/>
                </w:tcPr>
                <w:p w14:paraId="36BD2702">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811530" cy="773430"/>
                        <wp:effectExtent l="0" t="0" r="1270" b="1270"/>
                        <wp:docPr id="166" name="图片 26" descr="噪声排放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6" descr="噪声排放源"/>
                                <pic:cNvPicPr>
                                  <a:picLocks noChangeAspect="1"/>
                                </pic:cNvPicPr>
                              </pic:nvPicPr>
                              <pic:blipFill>
                                <a:blip r:embed="rId47"/>
                                <a:stretch>
                                  <a:fillRect/>
                                </a:stretch>
                              </pic:blipFill>
                              <pic:spPr>
                                <a:xfrm>
                                  <a:off x="0" y="0"/>
                                  <a:ext cx="811530" cy="773430"/>
                                </a:xfrm>
                                <a:prstGeom prst="rect">
                                  <a:avLst/>
                                </a:prstGeom>
                                <a:noFill/>
                                <a:ln>
                                  <a:noFill/>
                                </a:ln>
                              </pic:spPr>
                            </pic:pic>
                          </a:graphicData>
                        </a:graphic>
                      </wp:inline>
                    </w:drawing>
                  </w:r>
                </w:p>
              </w:tc>
              <w:tc>
                <w:tcPr>
                  <w:tcW w:w="1981" w:type="dxa"/>
                  <w:tcBorders>
                    <w:tl2br w:val="nil"/>
                    <w:tr2bl w:val="nil"/>
                  </w:tcBorders>
                  <w:vAlign w:val="center"/>
                </w:tcPr>
                <w:p w14:paraId="09ED3CF7">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826770" cy="788670"/>
                        <wp:effectExtent l="0" t="0" r="11430" b="11430"/>
                        <wp:docPr id="163" name="图片 27" descr="一般固体废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7" descr="一般固体废物"/>
                                <pic:cNvPicPr>
                                  <a:picLocks noChangeAspect="1"/>
                                </pic:cNvPicPr>
                              </pic:nvPicPr>
                              <pic:blipFill>
                                <a:blip r:embed="rId48"/>
                                <a:stretch>
                                  <a:fillRect/>
                                </a:stretch>
                              </pic:blipFill>
                              <pic:spPr>
                                <a:xfrm>
                                  <a:off x="0" y="0"/>
                                  <a:ext cx="826770" cy="788670"/>
                                </a:xfrm>
                                <a:prstGeom prst="rect">
                                  <a:avLst/>
                                </a:prstGeom>
                                <a:noFill/>
                                <a:ln>
                                  <a:noFill/>
                                </a:ln>
                              </pic:spPr>
                            </pic:pic>
                          </a:graphicData>
                        </a:graphic>
                      </wp:inline>
                    </w:drawing>
                  </w:r>
                </w:p>
              </w:tc>
              <w:tc>
                <w:tcPr>
                  <w:tcW w:w="1482" w:type="dxa"/>
                  <w:tcBorders>
                    <w:tl2br w:val="nil"/>
                    <w:tr2bl w:val="nil"/>
                  </w:tcBorders>
                  <w:vAlign w:val="center"/>
                </w:tcPr>
                <w:p w14:paraId="55CDF5BE">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762635" cy="789305"/>
                        <wp:effectExtent l="0" t="0" r="12065" b="1079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49"/>
                                <a:stretch>
                                  <a:fillRect/>
                                </a:stretch>
                              </pic:blipFill>
                              <pic:spPr>
                                <a:xfrm>
                                  <a:off x="0" y="0"/>
                                  <a:ext cx="762635" cy="789305"/>
                                </a:xfrm>
                                <a:prstGeom prst="rect">
                                  <a:avLst/>
                                </a:prstGeom>
                                <a:noFill/>
                                <a:ln>
                                  <a:noFill/>
                                </a:ln>
                              </pic:spPr>
                            </pic:pic>
                          </a:graphicData>
                        </a:graphic>
                      </wp:inline>
                    </w:drawing>
                  </w:r>
                </w:p>
              </w:tc>
            </w:tr>
            <w:tr w14:paraId="5CF9F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23" w:type="dxa"/>
                  <w:tcBorders>
                    <w:tl2br w:val="nil"/>
                    <w:tr2bl w:val="nil"/>
                  </w:tcBorders>
                  <w:vAlign w:val="center"/>
                </w:tcPr>
                <w:p w14:paraId="2ADA30E2">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背景颜色</w:t>
                  </w:r>
                </w:p>
              </w:tc>
              <w:tc>
                <w:tcPr>
                  <w:tcW w:w="5662" w:type="dxa"/>
                  <w:gridSpan w:val="3"/>
                  <w:tcBorders>
                    <w:tl2br w:val="nil"/>
                    <w:tr2bl w:val="nil"/>
                  </w:tcBorders>
                  <w:vAlign w:val="center"/>
                </w:tcPr>
                <w:p w14:paraId="49363E9E">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绿色</w:t>
                  </w:r>
                </w:p>
              </w:tc>
              <w:tc>
                <w:tcPr>
                  <w:tcW w:w="1482" w:type="dxa"/>
                  <w:tcBorders>
                    <w:tl2br w:val="nil"/>
                    <w:tr2bl w:val="nil"/>
                  </w:tcBorders>
                  <w:vAlign w:val="center"/>
                </w:tcPr>
                <w:p w14:paraId="2E068E78">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桔黄色</w:t>
                  </w:r>
                </w:p>
              </w:tc>
            </w:tr>
            <w:tr w14:paraId="288B3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23" w:type="dxa"/>
                  <w:tcBorders>
                    <w:tl2br w:val="nil"/>
                    <w:tr2bl w:val="nil"/>
                  </w:tcBorders>
                  <w:vAlign w:val="center"/>
                </w:tcPr>
                <w:p w14:paraId="2C556E41">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图形颜色</w:t>
                  </w:r>
                </w:p>
              </w:tc>
              <w:tc>
                <w:tcPr>
                  <w:tcW w:w="5662" w:type="dxa"/>
                  <w:gridSpan w:val="3"/>
                  <w:tcBorders>
                    <w:tl2br w:val="nil"/>
                    <w:tr2bl w:val="nil"/>
                  </w:tcBorders>
                  <w:vAlign w:val="center"/>
                </w:tcPr>
                <w:p w14:paraId="4F40AE84">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白色</w:t>
                  </w:r>
                </w:p>
              </w:tc>
              <w:tc>
                <w:tcPr>
                  <w:tcW w:w="1482" w:type="dxa"/>
                  <w:tcBorders>
                    <w:tl2br w:val="nil"/>
                    <w:tr2bl w:val="nil"/>
                  </w:tcBorders>
                  <w:vAlign w:val="center"/>
                </w:tcPr>
                <w:p w14:paraId="1BCBB95A">
                  <w:pPr>
                    <w:pStyle w:val="12"/>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黑色</w:t>
                  </w:r>
                </w:p>
              </w:tc>
            </w:tr>
          </w:tbl>
          <w:p w14:paraId="2D558BCA">
            <w:pPr>
              <w:ind w:firstLine="420" w:firstLineChars="200"/>
              <w:jc w:val="both"/>
              <w:rPr>
                <w:rFonts w:hint="default"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2</w:t>
            </w:r>
            <w:r>
              <w:rPr>
                <w:rFonts w:hint="eastAsia"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eastAsia="zh-CN"/>
              </w:rPr>
              <w:t>环境信息报告和公开</w:t>
            </w:r>
          </w:p>
          <w:p w14:paraId="4EE91ED0">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①信息报告</w:t>
            </w:r>
          </w:p>
          <w:p w14:paraId="51DF3EC7">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排污单位应编写自行监测年度报告，年度报告至少应包含以下内容：</w:t>
            </w:r>
          </w:p>
          <w:p w14:paraId="121A6126">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 xml:space="preserve">a）监测方案的调整变化情况及变更原因； </w:t>
            </w:r>
          </w:p>
          <w:p w14:paraId="28A02A5D">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b）企业及各主要生产设施（至少涵盖废气主要污染源相关生产设施）全年运行天数，各监测点、各监测指标全年监测次数、超标情况、浓度分布情况；</w:t>
            </w:r>
          </w:p>
          <w:p w14:paraId="302C5460">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c）按要求开展的周边环境质量影响状况监测结果；</w:t>
            </w:r>
          </w:p>
          <w:p w14:paraId="4BE34C63">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d）自行监测开展的其他情况说明；</w:t>
            </w:r>
          </w:p>
          <w:p w14:paraId="621D98A2">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e）排污单位实现达标排放所采取的主要措施。</w:t>
            </w:r>
          </w:p>
          <w:p w14:paraId="6949EB7B">
            <w:pPr>
              <w:ind w:firstLine="420" w:firstLineChars="20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②信息公开</w:t>
            </w:r>
          </w:p>
          <w:p w14:paraId="5241666A">
            <w:pPr>
              <w:ind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排污单位自行监测信息公开内容及方式按照《企业事业单位环境信息公开办法》（环境保护部令第31号）及《国家重点监控企业自行监测及信息公开办法（试行）》（环发〔2013〕81号）执行。非重点排污单位的信息公开要求由地方环境保护主管部门确定</w:t>
            </w:r>
            <w:r>
              <w:rPr>
                <w:rFonts w:hint="eastAsia" w:ascii="Times New Roman" w:hAnsi="Times New Roman" w:eastAsia="宋体" w:cs="Times New Roman"/>
                <w:bCs/>
                <w:color w:val="auto"/>
                <w:sz w:val="21"/>
                <w:szCs w:val="21"/>
                <w:highlight w:val="none"/>
                <w:lang w:eastAsia="zh-CN"/>
              </w:rPr>
              <w:t>。</w:t>
            </w:r>
          </w:p>
          <w:p w14:paraId="2745BEB6">
            <w:pPr>
              <w:ind w:firstLine="420" w:firstLineChars="200"/>
              <w:jc w:val="both"/>
              <w:rPr>
                <w:rFonts w:hint="default"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（3）环境保护责任制度</w:t>
            </w:r>
          </w:p>
          <w:p w14:paraId="2F0166D4">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①认真贯彻执行《环保法》，实行清洁生产，把环保工作落到实处；</w:t>
            </w:r>
          </w:p>
          <w:p w14:paraId="21151B4A">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②谁主管，谁负责，责任到人，分级管理；</w:t>
            </w:r>
          </w:p>
          <w:p w14:paraId="187D6DF0">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③对环保设备定期保养，发现问题立即处理，保证运行率达</w:t>
            </w:r>
            <w:r>
              <w:rPr>
                <w:rFonts w:hint="eastAsia" w:ascii="Times New Roman" w:hAnsi="Times New Roman" w:eastAsia="宋体" w:cs="Times New Roman"/>
                <w:bCs/>
                <w:color w:val="auto"/>
                <w:sz w:val="21"/>
                <w:szCs w:val="21"/>
                <w:highlight w:val="none"/>
                <w:lang w:val="en-US" w:eastAsia="zh-CN"/>
              </w:rPr>
              <w:t>99</w:t>
            </w:r>
            <w:r>
              <w:rPr>
                <w:rFonts w:hint="eastAsia" w:ascii="Times New Roman" w:hAnsi="Times New Roman" w:eastAsia="宋体" w:cs="Times New Roman"/>
                <w:bCs/>
                <w:color w:val="auto"/>
                <w:sz w:val="21"/>
                <w:szCs w:val="21"/>
                <w:highlight w:val="none"/>
                <w:lang w:eastAsia="zh-CN"/>
              </w:rPr>
              <w:t>%以上；</w:t>
            </w:r>
          </w:p>
          <w:p w14:paraId="21CD72DC">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④严格执行环保设施的操作规程，确保环保设施的正常运行；</w:t>
            </w:r>
          </w:p>
          <w:p w14:paraId="6D7A0057">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⑤建立环保设施台账，认真做运行记录；</w:t>
            </w:r>
          </w:p>
          <w:p w14:paraId="44278B14">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⑥如发现擅自停用或拆除环保设施，依据《环保法》予以处罚；</w:t>
            </w:r>
          </w:p>
          <w:p w14:paraId="28AB762F">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⑦除尘器如有发生突发事故，要及时向环保</w:t>
            </w:r>
            <w:r>
              <w:rPr>
                <w:rFonts w:hint="eastAsia" w:ascii="Times New Roman" w:hAnsi="Times New Roman" w:eastAsia="宋体" w:cs="Times New Roman"/>
                <w:bCs/>
                <w:color w:val="auto"/>
                <w:sz w:val="21"/>
                <w:szCs w:val="21"/>
                <w:highlight w:val="none"/>
                <w:lang w:val="en-US" w:eastAsia="zh-CN"/>
              </w:rPr>
              <w:t>主管</w:t>
            </w:r>
            <w:r>
              <w:rPr>
                <w:rFonts w:hint="eastAsia" w:ascii="Times New Roman" w:hAnsi="Times New Roman" w:eastAsia="宋体" w:cs="Times New Roman"/>
                <w:bCs/>
                <w:color w:val="auto"/>
                <w:sz w:val="21"/>
                <w:szCs w:val="21"/>
                <w:highlight w:val="none"/>
                <w:lang w:eastAsia="zh-CN"/>
              </w:rPr>
              <w:t>部门汇报，及时抢修，使除尘设施及时正常运行，确保污染降到最低程度。</w:t>
            </w:r>
          </w:p>
          <w:p w14:paraId="15212479">
            <w:pPr>
              <w:ind w:firstLine="420" w:firstLineChars="20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⑧对厂内各污染源排放的污染物进行定期或不定期监测。</w:t>
            </w:r>
          </w:p>
          <w:p w14:paraId="427CB92D">
            <w:pPr>
              <w:widowControl/>
              <w:jc w:val="center"/>
              <w:textAlignment w:val="center"/>
              <w:rPr>
                <w:rFonts w:ascii="Times New Roman" w:hAnsi="Times New Roman" w:eastAsia="宋体" w:cs="Times New Roman"/>
                <w:color w:val="auto"/>
                <w:sz w:val="21"/>
                <w:szCs w:val="21"/>
                <w:lang w:eastAsia="zh-CN"/>
              </w:rPr>
            </w:pPr>
          </w:p>
          <w:p w14:paraId="21D0C82B">
            <w:pPr>
              <w:widowControl/>
              <w:jc w:val="center"/>
              <w:textAlignment w:val="center"/>
              <w:rPr>
                <w:rFonts w:ascii="Times New Roman" w:hAnsi="Times New Roman" w:eastAsia="宋体" w:cs="Times New Roman"/>
                <w:color w:val="auto"/>
                <w:sz w:val="21"/>
                <w:szCs w:val="21"/>
                <w:lang w:eastAsia="zh-CN"/>
              </w:rPr>
            </w:pPr>
          </w:p>
          <w:p w14:paraId="5958A5B2">
            <w:pPr>
              <w:widowControl/>
              <w:jc w:val="both"/>
              <w:textAlignment w:val="center"/>
              <w:rPr>
                <w:rFonts w:hint="eastAsia" w:ascii="Times New Roman" w:hAnsi="Times New Roman" w:eastAsia="宋体" w:cs="Times New Roman"/>
                <w:color w:val="auto"/>
                <w:sz w:val="21"/>
                <w:szCs w:val="21"/>
                <w:lang w:val="en-US" w:eastAsia="zh-CN"/>
              </w:rPr>
            </w:pPr>
          </w:p>
          <w:p w14:paraId="0B6F424C">
            <w:pPr>
              <w:widowControl/>
              <w:jc w:val="both"/>
              <w:textAlignment w:val="center"/>
              <w:rPr>
                <w:rFonts w:hint="eastAsia" w:ascii="Times New Roman" w:hAnsi="Times New Roman" w:eastAsia="宋体" w:cs="Times New Roman"/>
                <w:color w:val="auto"/>
                <w:sz w:val="21"/>
                <w:szCs w:val="21"/>
                <w:lang w:val="en-US" w:eastAsia="zh-CN"/>
              </w:rPr>
            </w:pPr>
          </w:p>
          <w:p w14:paraId="02DF13C2">
            <w:pPr>
              <w:widowControl/>
              <w:jc w:val="both"/>
              <w:textAlignment w:val="center"/>
              <w:rPr>
                <w:rFonts w:hint="eastAsia" w:ascii="Times New Roman" w:hAnsi="Times New Roman" w:eastAsia="宋体" w:cs="Times New Roman"/>
                <w:color w:val="auto"/>
                <w:sz w:val="21"/>
                <w:szCs w:val="21"/>
                <w:lang w:val="en-US" w:eastAsia="zh-CN"/>
              </w:rPr>
            </w:pPr>
          </w:p>
          <w:p w14:paraId="34770F4E">
            <w:pPr>
              <w:widowControl/>
              <w:jc w:val="both"/>
              <w:textAlignment w:val="center"/>
              <w:rPr>
                <w:rFonts w:hint="eastAsia" w:ascii="Times New Roman" w:hAnsi="Times New Roman" w:eastAsia="宋体" w:cs="Times New Roman"/>
                <w:color w:val="auto"/>
                <w:sz w:val="21"/>
                <w:szCs w:val="21"/>
                <w:lang w:val="en-US" w:eastAsia="zh-CN"/>
              </w:rPr>
            </w:pPr>
          </w:p>
          <w:p w14:paraId="60DA4F92">
            <w:pPr>
              <w:widowControl/>
              <w:jc w:val="both"/>
              <w:textAlignment w:val="center"/>
              <w:rPr>
                <w:rFonts w:hint="eastAsia" w:ascii="Times New Roman" w:hAnsi="Times New Roman" w:eastAsia="宋体" w:cs="Times New Roman"/>
                <w:color w:val="auto"/>
                <w:sz w:val="21"/>
                <w:szCs w:val="21"/>
                <w:lang w:val="en-US" w:eastAsia="zh-CN"/>
              </w:rPr>
            </w:pPr>
          </w:p>
          <w:p w14:paraId="5C91AB3D">
            <w:pPr>
              <w:widowControl/>
              <w:jc w:val="both"/>
              <w:textAlignment w:val="center"/>
              <w:rPr>
                <w:rFonts w:hint="eastAsia" w:ascii="Times New Roman" w:hAnsi="Times New Roman" w:eastAsia="宋体" w:cs="Times New Roman"/>
                <w:color w:val="auto"/>
                <w:sz w:val="21"/>
                <w:szCs w:val="21"/>
                <w:lang w:val="en-US" w:eastAsia="zh-CN"/>
              </w:rPr>
            </w:pPr>
          </w:p>
          <w:p w14:paraId="5F57A235">
            <w:pPr>
              <w:widowControl/>
              <w:jc w:val="both"/>
              <w:textAlignment w:val="center"/>
              <w:rPr>
                <w:rFonts w:hint="eastAsia" w:ascii="Times New Roman" w:hAnsi="Times New Roman" w:eastAsia="宋体" w:cs="Times New Roman"/>
                <w:color w:val="auto"/>
                <w:sz w:val="21"/>
                <w:szCs w:val="21"/>
                <w:lang w:val="en-US" w:eastAsia="zh-CN"/>
              </w:rPr>
            </w:pPr>
          </w:p>
          <w:p w14:paraId="128E9DB8">
            <w:pPr>
              <w:widowControl/>
              <w:jc w:val="both"/>
              <w:textAlignment w:val="center"/>
              <w:rPr>
                <w:rFonts w:hint="eastAsia" w:ascii="Times New Roman" w:hAnsi="Times New Roman" w:eastAsia="宋体" w:cs="Times New Roman"/>
                <w:color w:val="auto"/>
                <w:sz w:val="21"/>
                <w:szCs w:val="21"/>
                <w:lang w:val="en-US" w:eastAsia="zh-CN"/>
              </w:rPr>
            </w:pPr>
          </w:p>
          <w:p w14:paraId="3CA2616D">
            <w:pPr>
              <w:widowControl/>
              <w:jc w:val="both"/>
              <w:textAlignment w:val="center"/>
              <w:rPr>
                <w:rFonts w:hint="eastAsia" w:ascii="Times New Roman" w:hAnsi="Times New Roman" w:eastAsia="宋体" w:cs="Times New Roman"/>
                <w:color w:val="auto"/>
                <w:sz w:val="21"/>
                <w:szCs w:val="21"/>
                <w:lang w:val="en-US" w:eastAsia="zh-CN"/>
              </w:rPr>
            </w:pPr>
          </w:p>
          <w:p w14:paraId="74B52412">
            <w:pPr>
              <w:widowControl/>
              <w:jc w:val="both"/>
              <w:textAlignment w:val="center"/>
              <w:rPr>
                <w:rFonts w:hint="eastAsia" w:ascii="Times New Roman" w:hAnsi="Times New Roman" w:eastAsia="宋体" w:cs="Times New Roman"/>
                <w:color w:val="auto"/>
                <w:sz w:val="21"/>
                <w:szCs w:val="21"/>
                <w:lang w:val="en-US" w:eastAsia="zh-CN"/>
              </w:rPr>
            </w:pPr>
          </w:p>
          <w:p w14:paraId="36972830">
            <w:pPr>
              <w:widowControl/>
              <w:jc w:val="both"/>
              <w:textAlignment w:val="center"/>
              <w:rPr>
                <w:rFonts w:hint="eastAsia" w:ascii="Times New Roman" w:hAnsi="Times New Roman" w:eastAsia="宋体" w:cs="Times New Roman"/>
                <w:color w:val="auto"/>
                <w:sz w:val="21"/>
                <w:szCs w:val="21"/>
                <w:lang w:val="en-US" w:eastAsia="zh-CN"/>
              </w:rPr>
            </w:pPr>
          </w:p>
          <w:p w14:paraId="123237C7">
            <w:pPr>
              <w:widowControl/>
              <w:jc w:val="both"/>
              <w:textAlignment w:val="center"/>
              <w:rPr>
                <w:rFonts w:hint="eastAsia" w:ascii="Times New Roman" w:hAnsi="Times New Roman" w:eastAsia="宋体" w:cs="Times New Roman"/>
                <w:color w:val="auto"/>
                <w:sz w:val="21"/>
                <w:szCs w:val="21"/>
                <w:lang w:val="en-US" w:eastAsia="zh-CN"/>
              </w:rPr>
            </w:pPr>
          </w:p>
          <w:p w14:paraId="5BA1A051">
            <w:pPr>
              <w:widowControl/>
              <w:jc w:val="both"/>
              <w:textAlignment w:val="center"/>
              <w:rPr>
                <w:rFonts w:hint="eastAsia" w:ascii="Times New Roman" w:hAnsi="Times New Roman" w:eastAsia="宋体" w:cs="Times New Roman"/>
                <w:color w:val="auto"/>
                <w:sz w:val="21"/>
                <w:szCs w:val="21"/>
                <w:lang w:val="en-US" w:eastAsia="zh-CN"/>
              </w:rPr>
            </w:pPr>
          </w:p>
          <w:p w14:paraId="164BE1D7">
            <w:pPr>
              <w:widowControl/>
              <w:jc w:val="both"/>
              <w:textAlignment w:val="center"/>
              <w:rPr>
                <w:rFonts w:hint="default" w:ascii="Times New Roman" w:hAnsi="Times New Roman" w:eastAsia="宋体" w:cs="Times New Roman"/>
                <w:color w:val="auto"/>
                <w:sz w:val="21"/>
                <w:szCs w:val="21"/>
                <w:lang w:val="en-US" w:eastAsia="zh-CN"/>
              </w:rPr>
            </w:pPr>
          </w:p>
        </w:tc>
      </w:tr>
    </w:tbl>
    <w:p w14:paraId="571B4FB7">
      <w:pPr>
        <w:rPr>
          <w:rFonts w:ascii="Times New Roman" w:hAnsi="Times New Roman" w:eastAsia="宋体" w:cs="Times New Roman"/>
          <w:color w:val="auto"/>
        </w:rPr>
        <w:sectPr>
          <w:pgSz w:w="11910" w:h="16840"/>
          <w:pgMar w:top="1580" w:right="1420" w:bottom="1240" w:left="1420" w:header="0" w:footer="1043" w:gutter="0"/>
          <w:pgBorders>
            <w:top w:val="none" w:sz="0" w:space="0"/>
            <w:left w:val="none" w:sz="0" w:space="0"/>
            <w:bottom w:val="none" w:sz="0" w:space="0"/>
            <w:right w:val="none" w:sz="0" w:space="0"/>
          </w:pgBorders>
          <w:cols w:space="720" w:num="1"/>
        </w:sectPr>
      </w:pPr>
    </w:p>
    <w:p w14:paraId="1BAAC38C">
      <w:pPr>
        <w:pStyle w:val="16"/>
        <w:spacing w:before="0" w:line="360" w:lineRule="auto"/>
        <w:ind w:left="0"/>
        <w:jc w:val="center"/>
        <w:outlineLvl w:val="0"/>
        <w:rPr>
          <w:rFonts w:ascii="Times New Roman" w:hAnsi="Times New Roman" w:eastAsia="宋体" w:cs="Times New Roman"/>
          <w:color w:val="auto"/>
        </w:rPr>
      </w:pPr>
      <w:bookmarkStart w:id="32" w:name="六、结论"/>
      <w:bookmarkEnd w:id="32"/>
      <w:bookmarkStart w:id="33" w:name="_Toc13890"/>
      <w:r>
        <w:rPr>
          <w:rFonts w:ascii="Times New Roman" w:hAnsi="Times New Roman" w:eastAsia="宋体" w:cs="Times New Roman"/>
          <w:color w:val="auto"/>
        </w:rPr>
        <w:t>六、结论</w:t>
      </w:r>
      <w:bookmarkEnd w:id="33"/>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157E0B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6F803B87">
            <w:pPr>
              <w:spacing w:line="360" w:lineRule="auto"/>
              <w:ind w:firstLine="482" w:firstLineChars="200"/>
              <w:jc w:val="both"/>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sz w:val="24"/>
                <w:szCs w:val="24"/>
                <w:lang w:val="en-US" w:eastAsia="zh-CN"/>
              </w:rPr>
              <w:t>从环境保护角度，本项目环境影响可行</w:t>
            </w:r>
            <w:r>
              <w:rPr>
                <w:rFonts w:hint="eastAsia" w:ascii="Times New Roman" w:hAnsi="Times New Roman" w:eastAsia="宋体" w:cs="Times New Roman"/>
                <w:b/>
                <w:bCs/>
                <w:sz w:val="24"/>
                <w:szCs w:val="24"/>
                <w:lang w:eastAsia="zh-CN"/>
              </w:rPr>
              <w:t>。</w:t>
            </w:r>
          </w:p>
          <w:p w14:paraId="03703178">
            <w:pPr>
              <w:pStyle w:val="16"/>
              <w:spacing w:before="0"/>
              <w:ind w:left="0"/>
              <w:jc w:val="center"/>
              <w:rPr>
                <w:rFonts w:ascii="Times New Roman" w:hAnsi="Times New Roman" w:eastAsia="宋体" w:cs="Times New Roman"/>
                <w:color w:val="auto"/>
                <w:lang w:eastAsia="zh-CN"/>
              </w:rPr>
            </w:pPr>
          </w:p>
          <w:p w14:paraId="6CD6AD29">
            <w:pPr>
              <w:pStyle w:val="16"/>
              <w:spacing w:before="0"/>
              <w:ind w:left="0"/>
              <w:jc w:val="center"/>
              <w:rPr>
                <w:rFonts w:ascii="Times New Roman" w:hAnsi="Times New Roman" w:eastAsia="宋体" w:cs="Times New Roman"/>
                <w:color w:val="auto"/>
                <w:lang w:eastAsia="zh-CN"/>
              </w:rPr>
            </w:pPr>
          </w:p>
          <w:p w14:paraId="3D784EF0">
            <w:pPr>
              <w:pStyle w:val="16"/>
              <w:spacing w:before="0"/>
              <w:ind w:left="0"/>
              <w:jc w:val="center"/>
              <w:rPr>
                <w:rFonts w:ascii="Times New Roman" w:hAnsi="Times New Roman" w:eastAsia="宋体" w:cs="Times New Roman"/>
                <w:color w:val="auto"/>
                <w:lang w:eastAsia="zh-CN"/>
              </w:rPr>
            </w:pPr>
          </w:p>
          <w:p w14:paraId="5766D536">
            <w:pPr>
              <w:pStyle w:val="16"/>
              <w:spacing w:before="0"/>
              <w:ind w:left="0"/>
              <w:jc w:val="center"/>
              <w:rPr>
                <w:rFonts w:ascii="Times New Roman" w:hAnsi="Times New Roman" w:eastAsia="宋体" w:cs="Times New Roman"/>
                <w:color w:val="auto"/>
                <w:lang w:eastAsia="zh-CN"/>
              </w:rPr>
            </w:pPr>
          </w:p>
          <w:p w14:paraId="7C2CDB9C">
            <w:pPr>
              <w:pStyle w:val="16"/>
              <w:spacing w:before="0"/>
              <w:ind w:left="0"/>
              <w:jc w:val="center"/>
              <w:rPr>
                <w:rFonts w:ascii="Times New Roman" w:hAnsi="Times New Roman" w:eastAsia="宋体" w:cs="Times New Roman"/>
                <w:color w:val="auto"/>
                <w:lang w:eastAsia="zh-CN"/>
              </w:rPr>
            </w:pPr>
          </w:p>
          <w:p w14:paraId="0719060D">
            <w:pPr>
              <w:pStyle w:val="16"/>
              <w:spacing w:before="0"/>
              <w:ind w:left="0"/>
              <w:jc w:val="center"/>
              <w:rPr>
                <w:rFonts w:ascii="Times New Roman" w:hAnsi="Times New Roman" w:eastAsia="宋体" w:cs="Times New Roman"/>
                <w:color w:val="auto"/>
                <w:lang w:eastAsia="zh-CN"/>
              </w:rPr>
            </w:pPr>
          </w:p>
          <w:p w14:paraId="64A78B5D">
            <w:pPr>
              <w:pStyle w:val="16"/>
              <w:spacing w:before="0"/>
              <w:ind w:left="0"/>
              <w:jc w:val="center"/>
              <w:rPr>
                <w:rFonts w:ascii="Times New Roman" w:hAnsi="Times New Roman" w:eastAsia="宋体" w:cs="Times New Roman"/>
                <w:color w:val="auto"/>
                <w:lang w:eastAsia="zh-CN"/>
              </w:rPr>
            </w:pPr>
          </w:p>
          <w:p w14:paraId="7C0A5E0D">
            <w:pPr>
              <w:pStyle w:val="16"/>
              <w:spacing w:before="0"/>
              <w:ind w:left="0"/>
              <w:jc w:val="center"/>
              <w:rPr>
                <w:rFonts w:ascii="Times New Roman" w:hAnsi="Times New Roman" w:eastAsia="宋体" w:cs="Times New Roman"/>
                <w:color w:val="auto"/>
                <w:lang w:eastAsia="zh-CN"/>
              </w:rPr>
            </w:pPr>
          </w:p>
          <w:p w14:paraId="6B9DF7F0">
            <w:pPr>
              <w:pStyle w:val="16"/>
              <w:spacing w:before="0"/>
              <w:ind w:left="0"/>
              <w:jc w:val="center"/>
              <w:rPr>
                <w:rFonts w:ascii="Times New Roman" w:hAnsi="Times New Roman" w:eastAsia="宋体" w:cs="Times New Roman"/>
                <w:color w:val="auto"/>
                <w:lang w:eastAsia="zh-CN"/>
              </w:rPr>
            </w:pPr>
          </w:p>
          <w:p w14:paraId="11AF417A">
            <w:pPr>
              <w:pStyle w:val="16"/>
              <w:spacing w:before="0"/>
              <w:ind w:left="0"/>
              <w:jc w:val="center"/>
              <w:rPr>
                <w:rFonts w:ascii="Times New Roman" w:hAnsi="Times New Roman" w:eastAsia="宋体" w:cs="Times New Roman"/>
                <w:color w:val="auto"/>
                <w:lang w:eastAsia="zh-CN"/>
              </w:rPr>
            </w:pPr>
          </w:p>
          <w:p w14:paraId="694F1FF6">
            <w:pPr>
              <w:pStyle w:val="16"/>
              <w:spacing w:before="0"/>
              <w:ind w:left="0"/>
              <w:jc w:val="center"/>
              <w:rPr>
                <w:rFonts w:ascii="Times New Roman" w:hAnsi="Times New Roman" w:eastAsia="宋体" w:cs="Times New Roman"/>
                <w:color w:val="auto"/>
                <w:lang w:eastAsia="zh-CN"/>
              </w:rPr>
            </w:pPr>
          </w:p>
          <w:p w14:paraId="0F790D87">
            <w:pPr>
              <w:pStyle w:val="16"/>
              <w:spacing w:before="0"/>
              <w:ind w:left="0"/>
              <w:jc w:val="center"/>
              <w:rPr>
                <w:rFonts w:ascii="Times New Roman" w:hAnsi="Times New Roman" w:eastAsia="宋体" w:cs="Times New Roman"/>
                <w:color w:val="auto"/>
                <w:lang w:eastAsia="zh-CN"/>
              </w:rPr>
            </w:pPr>
          </w:p>
          <w:p w14:paraId="780F0A14">
            <w:pPr>
              <w:pStyle w:val="16"/>
              <w:spacing w:before="0"/>
              <w:ind w:left="0"/>
              <w:jc w:val="center"/>
              <w:rPr>
                <w:rFonts w:ascii="Times New Roman" w:hAnsi="Times New Roman" w:eastAsia="宋体" w:cs="Times New Roman"/>
                <w:color w:val="auto"/>
                <w:lang w:eastAsia="zh-CN"/>
              </w:rPr>
            </w:pPr>
          </w:p>
          <w:p w14:paraId="113B288A">
            <w:pPr>
              <w:pStyle w:val="16"/>
              <w:spacing w:before="0"/>
              <w:ind w:left="0"/>
              <w:jc w:val="center"/>
              <w:rPr>
                <w:rFonts w:ascii="Times New Roman" w:hAnsi="Times New Roman" w:eastAsia="宋体" w:cs="Times New Roman"/>
                <w:color w:val="auto"/>
                <w:lang w:eastAsia="zh-CN"/>
              </w:rPr>
            </w:pPr>
          </w:p>
          <w:p w14:paraId="2A16A839">
            <w:pPr>
              <w:pStyle w:val="16"/>
              <w:spacing w:before="0"/>
              <w:ind w:left="0"/>
              <w:jc w:val="center"/>
              <w:rPr>
                <w:rFonts w:ascii="Times New Roman" w:hAnsi="Times New Roman" w:eastAsia="宋体" w:cs="Times New Roman"/>
                <w:color w:val="auto"/>
                <w:lang w:eastAsia="zh-CN"/>
              </w:rPr>
            </w:pPr>
          </w:p>
          <w:p w14:paraId="1D2000C2">
            <w:pPr>
              <w:pStyle w:val="16"/>
              <w:spacing w:before="0"/>
              <w:ind w:left="0"/>
              <w:jc w:val="center"/>
              <w:rPr>
                <w:rFonts w:ascii="Times New Roman" w:hAnsi="Times New Roman" w:eastAsia="宋体" w:cs="Times New Roman"/>
                <w:color w:val="auto"/>
                <w:lang w:eastAsia="zh-CN"/>
              </w:rPr>
            </w:pPr>
          </w:p>
          <w:p w14:paraId="015CDDFC">
            <w:pPr>
              <w:pStyle w:val="16"/>
              <w:spacing w:before="0"/>
              <w:ind w:left="0"/>
              <w:jc w:val="center"/>
              <w:rPr>
                <w:rFonts w:ascii="Times New Roman" w:hAnsi="Times New Roman" w:eastAsia="宋体" w:cs="Times New Roman"/>
                <w:color w:val="auto"/>
                <w:lang w:eastAsia="zh-CN"/>
              </w:rPr>
            </w:pPr>
          </w:p>
          <w:p w14:paraId="4ACC42E7">
            <w:pPr>
              <w:pStyle w:val="16"/>
              <w:spacing w:before="0"/>
              <w:ind w:left="0"/>
              <w:jc w:val="center"/>
              <w:rPr>
                <w:rFonts w:ascii="Times New Roman" w:hAnsi="Times New Roman" w:eastAsia="宋体" w:cs="Times New Roman"/>
                <w:color w:val="auto"/>
                <w:lang w:eastAsia="zh-CN"/>
              </w:rPr>
            </w:pPr>
          </w:p>
          <w:p w14:paraId="1832E596">
            <w:pPr>
              <w:pStyle w:val="16"/>
              <w:spacing w:before="0"/>
              <w:ind w:left="0"/>
              <w:jc w:val="center"/>
              <w:rPr>
                <w:rFonts w:ascii="Times New Roman" w:hAnsi="Times New Roman" w:eastAsia="宋体" w:cs="Times New Roman"/>
                <w:color w:val="auto"/>
                <w:lang w:eastAsia="zh-CN"/>
              </w:rPr>
            </w:pPr>
          </w:p>
          <w:p w14:paraId="28CE95B2">
            <w:pPr>
              <w:pStyle w:val="16"/>
              <w:spacing w:before="0"/>
              <w:ind w:left="0"/>
              <w:jc w:val="center"/>
              <w:rPr>
                <w:rFonts w:ascii="Times New Roman" w:hAnsi="Times New Roman" w:eastAsia="宋体" w:cs="Times New Roman"/>
                <w:color w:val="auto"/>
                <w:lang w:eastAsia="zh-CN"/>
              </w:rPr>
            </w:pPr>
          </w:p>
          <w:p w14:paraId="4F354592">
            <w:pPr>
              <w:pStyle w:val="16"/>
              <w:spacing w:before="0"/>
              <w:ind w:left="0"/>
              <w:jc w:val="center"/>
              <w:rPr>
                <w:rFonts w:ascii="Times New Roman" w:hAnsi="Times New Roman" w:eastAsia="宋体" w:cs="Times New Roman"/>
                <w:color w:val="auto"/>
                <w:lang w:eastAsia="zh-CN"/>
              </w:rPr>
            </w:pPr>
          </w:p>
          <w:p w14:paraId="63D4575D">
            <w:pPr>
              <w:pStyle w:val="16"/>
              <w:spacing w:before="0"/>
              <w:ind w:left="0"/>
              <w:jc w:val="center"/>
              <w:rPr>
                <w:rFonts w:ascii="Times New Roman" w:hAnsi="Times New Roman" w:eastAsia="宋体" w:cs="Times New Roman"/>
                <w:color w:val="auto"/>
                <w:lang w:eastAsia="zh-CN"/>
              </w:rPr>
            </w:pPr>
          </w:p>
          <w:p w14:paraId="281EBF21">
            <w:pPr>
              <w:pStyle w:val="16"/>
              <w:spacing w:before="0"/>
              <w:ind w:left="0"/>
              <w:jc w:val="center"/>
              <w:rPr>
                <w:rFonts w:ascii="Times New Roman" w:hAnsi="Times New Roman" w:eastAsia="宋体" w:cs="Times New Roman"/>
                <w:color w:val="auto"/>
                <w:lang w:eastAsia="zh-CN"/>
              </w:rPr>
            </w:pPr>
          </w:p>
          <w:p w14:paraId="35E83A5C">
            <w:pPr>
              <w:pStyle w:val="16"/>
              <w:spacing w:before="0"/>
              <w:ind w:left="0"/>
              <w:jc w:val="center"/>
              <w:rPr>
                <w:rFonts w:ascii="Times New Roman" w:hAnsi="Times New Roman" w:eastAsia="宋体" w:cs="Times New Roman"/>
                <w:color w:val="auto"/>
                <w:lang w:eastAsia="zh-CN"/>
              </w:rPr>
            </w:pPr>
          </w:p>
          <w:p w14:paraId="3F9134E5">
            <w:pPr>
              <w:pStyle w:val="16"/>
              <w:spacing w:before="0"/>
              <w:ind w:left="0"/>
              <w:jc w:val="center"/>
              <w:rPr>
                <w:rFonts w:ascii="Times New Roman" w:hAnsi="Times New Roman" w:eastAsia="宋体" w:cs="Times New Roman"/>
                <w:color w:val="auto"/>
                <w:lang w:eastAsia="zh-CN"/>
              </w:rPr>
            </w:pPr>
          </w:p>
          <w:p w14:paraId="185161D4">
            <w:pPr>
              <w:pStyle w:val="16"/>
              <w:spacing w:before="0"/>
              <w:ind w:left="0"/>
              <w:jc w:val="center"/>
              <w:rPr>
                <w:rFonts w:ascii="Times New Roman" w:hAnsi="Times New Roman" w:eastAsia="宋体" w:cs="Times New Roman"/>
                <w:color w:val="auto"/>
                <w:lang w:eastAsia="zh-CN"/>
              </w:rPr>
            </w:pPr>
          </w:p>
          <w:p w14:paraId="57519375">
            <w:pPr>
              <w:pStyle w:val="16"/>
              <w:spacing w:before="0"/>
              <w:ind w:left="0"/>
              <w:jc w:val="center"/>
              <w:rPr>
                <w:rFonts w:ascii="Times New Roman" w:hAnsi="Times New Roman" w:eastAsia="宋体" w:cs="Times New Roman"/>
                <w:color w:val="auto"/>
                <w:lang w:eastAsia="zh-CN"/>
              </w:rPr>
            </w:pPr>
          </w:p>
          <w:p w14:paraId="6FE6D9FA">
            <w:pPr>
              <w:pStyle w:val="16"/>
              <w:spacing w:before="0"/>
              <w:ind w:left="0"/>
              <w:jc w:val="center"/>
              <w:rPr>
                <w:rFonts w:ascii="Times New Roman" w:hAnsi="Times New Roman" w:eastAsia="宋体" w:cs="Times New Roman"/>
                <w:color w:val="auto"/>
                <w:lang w:eastAsia="zh-CN"/>
              </w:rPr>
            </w:pPr>
          </w:p>
          <w:p w14:paraId="6F6FAB5B">
            <w:pPr>
              <w:pStyle w:val="16"/>
              <w:spacing w:before="0"/>
              <w:ind w:left="0"/>
              <w:jc w:val="center"/>
              <w:rPr>
                <w:rFonts w:ascii="Times New Roman" w:hAnsi="Times New Roman" w:eastAsia="宋体" w:cs="Times New Roman"/>
                <w:color w:val="auto"/>
                <w:lang w:eastAsia="zh-CN"/>
              </w:rPr>
            </w:pPr>
          </w:p>
          <w:p w14:paraId="4572015F">
            <w:pPr>
              <w:pStyle w:val="16"/>
              <w:spacing w:before="0"/>
              <w:ind w:left="0"/>
              <w:jc w:val="center"/>
              <w:rPr>
                <w:rFonts w:ascii="Times New Roman" w:hAnsi="Times New Roman" w:eastAsia="宋体" w:cs="Times New Roman"/>
                <w:color w:val="auto"/>
                <w:lang w:eastAsia="zh-CN"/>
              </w:rPr>
            </w:pPr>
          </w:p>
          <w:p w14:paraId="7EAE0CF4">
            <w:pPr>
              <w:pStyle w:val="16"/>
              <w:spacing w:before="0"/>
              <w:ind w:left="0"/>
              <w:jc w:val="left"/>
              <w:rPr>
                <w:rFonts w:hint="eastAsia" w:ascii="Times New Roman" w:hAnsi="Times New Roman" w:eastAsia="宋体" w:cs="Times New Roman"/>
                <w:color w:val="auto"/>
                <w:lang w:eastAsia="zh-CN"/>
              </w:rPr>
            </w:pPr>
          </w:p>
          <w:p w14:paraId="34D7BDC6">
            <w:pPr>
              <w:pStyle w:val="16"/>
              <w:spacing w:before="0"/>
              <w:ind w:left="0"/>
              <w:jc w:val="left"/>
              <w:rPr>
                <w:rFonts w:hint="eastAsia" w:ascii="Times New Roman" w:hAnsi="Times New Roman" w:eastAsia="宋体" w:cs="Times New Roman"/>
                <w:color w:val="auto"/>
                <w:lang w:eastAsia="zh-CN"/>
              </w:rPr>
            </w:pPr>
          </w:p>
          <w:p w14:paraId="0E6CA306">
            <w:pPr>
              <w:pStyle w:val="16"/>
              <w:spacing w:before="0"/>
              <w:ind w:left="0"/>
              <w:jc w:val="left"/>
              <w:rPr>
                <w:rFonts w:hint="eastAsia" w:ascii="Times New Roman" w:hAnsi="Times New Roman" w:eastAsia="宋体" w:cs="Times New Roman"/>
                <w:color w:val="auto"/>
                <w:lang w:eastAsia="zh-CN"/>
              </w:rPr>
            </w:pPr>
          </w:p>
          <w:p w14:paraId="10E08346">
            <w:pPr>
              <w:pStyle w:val="16"/>
              <w:spacing w:before="0"/>
              <w:ind w:left="0"/>
              <w:jc w:val="left"/>
              <w:rPr>
                <w:rFonts w:hint="eastAsia" w:ascii="Times New Roman" w:hAnsi="Times New Roman" w:eastAsia="宋体" w:cs="Times New Roman"/>
                <w:color w:val="auto"/>
                <w:lang w:eastAsia="zh-CN"/>
              </w:rPr>
            </w:pPr>
          </w:p>
          <w:p w14:paraId="35F6F958">
            <w:pPr>
              <w:pStyle w:val="16"/>
              <w:spacing w:before="0"/>
              <w:ind w:left="0"/>
              <w:jc w:val="left"/>
              <w:rPr>
                <w:rFonts w:hint="eastAsia" w:ascii="Times New Roman" w:hAnsi="Times New Roman" w:eastAsia="宋体" w:cs="Times New Roman"/>
                <w:color w:val="auto"/>
                <w:lang w:eastAsia="zh-CN"/>
              </w:rPr>
            </w:pPr>
          </w:p>
          <w:p w14:paraId="57024442">
            <w:pPr>
              <w:pStyle w:val="16"/>
              <w:spacing w:before="0"/>
              <w:ind w:left="0"/>
              <w:jc w:val="left"/>
              <w:rPr>
                <w:rFonts w:hint="eastAsia" w:ascii="Times New Roman" w:hAnsi="Times New Roman" w:eastAsia="宋体" w:cs="Times New Roman"/>
                <w:color w:val="auto"/>
                <w:lang w:eastAsia="zh-CN"/>
              </w:rPr>
            </w:pPr>
          </w:p>
          <w:p w14:paraId="1C200ABB">
            <w:pPr>
              <w:pStyle w:val="16"/>
              <w:spacing w:before="0"/>
              <w:ind w:left="0"/>
              <w:jc w:val="left"/>
              <w:rPr>
                <w:rFonts w:hint="default" w:ascii="Times New Roman" w:hAnsi="Times New Roman" w:eastAsia="宋体" w:cs="Times New Roman"/>
                <w:color w:val="auto"/>
                <w:lang w:val="en-US" w:eastAsia="zh-CN"/>
              </w:rPr>
            </w:pPr>
          </w:p>
        </w:tc>
      </w:tr>
    </w:tbl>
    <w:p w14:paraId="4455B6E9">
      <w:pPr>
        <w:pStyle w:val="16"/>
        <w:spacing w:before="0" w:line="360" w:lineRule="auto"/>
        <w:ind w:left="0"/>
        <w:jc w:val="center"/>
        <w:outlineLvl w:val="9"/>
        <w:rPr>
          <w:rFonts w:ascii="Times New Roman" w:hAnsi="Times New Roman" w:eastAsia="宋体" w:cs="Times New Roman"/>
          <w:color w:val="auto"/>
          <w:lang w:eastAsia="zh-CN"/>
        </w:rPr>
        <w:sectPr>
          <w:footerReference r:id="rId11" w:type="default"/>
          <w:pgSz w:w="11910" w:h="16840"/>
          <w:pgMar w:top="1580" w:right="1300" w:bottom="1240" w:left="1300" w:header="0" w:footer="1043" w:gutter="0"/>
          <w:pgBorders>
            <w:top w:val="none" w:sz="0" w:space="0"/>
            <w:left w:val="none" w:sz="0" w:space="0"/>
            <w:bottom w:val="none" w:sz="0" w:space="0"/>
            <w:right w:val="none" w:sz="0" w:space="0"/>
          </w:pgBorders>
          <w:cols w:space="720" w:num="1"/>
        </w:sectPr>
      </w:pPr>
    </w:p>
    <w:p w14:paraId="19D47E32">
      <w:pPr>
        <w:keepNext w:val="0"/>
        <w:keepLines w:val="0"/>
        <w:pageBreakBefore w:val="0"/>
        <w:widowControl w:val="0"/>
        <w:kinsoku/>
        <w:wordWrap/>
        <w:overflowPunct/>
        <w:topLinePunct w:val="0"/>
        <w:autoSpaceDE/>
        <w:autoSpaceDN/>
        <w:bidi w:val="0"/>
        <w:adjustRightInd/>
        <w:snapToGrid/>
        <w:ind w:left="153"/>
        <w:textAlignment w:val="auto"/>
        <w:outlineLvl w:val="0"/>
        <w:rPr>
          <w:rFonts w:ascii="Times New Roman" w:hAnsi="Times New Roman" w:eastAsia="宋体" w:cs="Times New Roman"/>
          <w:b/>
          <w:bCs/>
          <w:color w:val="auto"/>
          <w:sz w:val="32"/>
          <w:szCs w:val="32"/>
          <w:lang w:eastAsia="zh-CN"/>
        </w:rPr>
      </w:pPr>
      <w:bookmarkStart w:id="34" w:name="附表"/>
      <w:bookmarkEnd w:id="34"/>
      <w:bookmarkStart w:id="35" w:name="_Toc22921"/>
      <w:r>
        <w:rPr>
          <w:rFonts w:ascii="Times New Roman" w:hAnsi="Times New Roman" w:eastAsia="宋体" w:cs="Times New Roman"/>
          <w:b/>
          <w:bCs/>
          <w:color w:val="auto"/>
          <w:sz w:val="32"/>
          <w:szCs w:val="32"/>
          <w:lang w:eastAsia="zh-CN"/>
        </w:rPr>
        <w:t>附表</w:t>
      </w:r>
      <w:bookmarkEnd w:id="35"/>
    </w:p>
    <w:p w14:paraId="2045C758">
      <w:pPr>
        <w:spacing w:before="34"/>
        <w:jc w:val="center"/>
        <w:rPr>
          <w:rFonts w:ascii="Times New Roman" w:hAnsi="Times New Roman" w:eastAsia="宋体" w:cs="Times New Roman"/>
          <w:b/>
          <w:bCs/>
          <w:color w:val="auto"/>
          <w:sz w:val="38"/>
          <w:szCs w:val="38"/>
          <w:lang w:eastAsia="zh-CN"/>
        </w:rPr>
      </w:pPr>
      <w:bookmarkStart w:id="36" w:name="污染物排放统计汇总表"/>
      <w:bookmarkEnd w:id="36"/>
      <w:r>
        <w:rPr>
          <w:rFonts w:ascii="Times New Roman" w:hAnsi="Times New Roman" w:eastAsia="宋体" w:cs="Times New Roman"/>
          <w:b/>
          <w:bCs/>
          <w:color w:val="auto"/>
          <w:sz w:val="38"/>
          <w:szCs w:val="38"/>
          <w:lang w:eastAsia="zh-CN"/>
        </w:rPr>
        <w:t>污染物排放统计汇总表</w:t>
      </w:r>
    </w:p>
    <w:p w14:paraId="77DCFA0F">
      <w:pPr>
        <w:spacing w:before="34"/>
        <w:jc w:val="right"/>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单位：t/a</w:t>
      </w:r>
    </w:p>
    <w:tbl>
      <w:tblPr>
        <w:tblStyle w:val="32"/>
        <w:tblW w:w="532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78"/>
        <w:gridCol w:w="2165"/>
        <w:gridCol w:w="1602"/>
        <w:gridCol w:w="1602"/>
        <w:gridCol w:w="1602"/>
        <w:gridCol w:w="1602"/>
        <w:gridCol w:w="1602"/>
        <w:gridCol w:w="1602"/>
        <w:gridCol w:w="1603"/>
      </w:tblGrid>
      <w:tr w14:paraId="09794A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9" w:hRule="atLeast"/>
          <w:jc w:val="center"/>
        </w:trPr>
        <w:tc>
          <w:tcPr>
            <w:tcW w:w="527" w:type="pct"/>
            <w:tcBorders>
              <w:tl2br w:val="nil"/>
              <w:tr2bl w:val="nil"/>
            </w:tcBorders>
            <w:vAlign w:val="center"/>
          </w:tcPr>
          <w:p w14:paraId="075751EB">
            <w:pPr>
              <w:pStyle w:val="42"/>
              <w:jc w:val="center"/>
              <w:rPr>
                <w:rFonts w:ascii="Times New Roman" w:hAnsi="Times New Roman" w:eastAsia="宋体" w:cs="Times New Roman"/>
                <w:color w:val="auto"/>
                <w:sz w:val="24"/>
                <w:szCs w:val="24"/>
              </w:rPr>
            </w:pPr>
            <w:bookmarkStart w:id="37" w:name="附"/>
            <w:bookmarkEnd w:id="37"/>
            <w:r>
              <w:rPr>
                <w:color w:val="auto"/>
                <w:sz w:val="24"/>
                <w:szCs w:val="24"/>
              </w:rPr>
              <w:pict>
                <v:line id="_x0000_s1027" o:spid="_x0000_s1027" o:spt="20" style="position:absolute;left:0pt;margin-left:-0.6pt;margin-top:-1.25pt;height:59.45pt;width:77.75pt;z-index:251659264;mso-width-relative:page;mso-height-relative:page;" filled="f" stroked="t" coordsize="21600,21600">
                  <v:path arrowok="t"/>
                  <v:fill on="f" focussize="0,0"/>
                  <v:stroke color="#000000"/>
                  <v:imagedata o:title=""/>
                  <o:lock v:ext="edit" aspectratio="f"/>
                </v:line>
              </w:pict>
            </w:r>
            <w:r>
              <w:rPr>
                <w:rFonts w:ascii="Times New Roman" w:hAnsi="Times New Roman" w:eastAsia="宋体" w:cs="Times New Roman"/>
                <w:color w:val="auto"/>
                <w:spacing w:val="-7"/>
                <w:sz w:val="24"/>
                <w:szCs w:val="24"/>
              </w:rPr>
              <w:t>项目</w:t>
            </w:r>
          </w:p>
          <w:p w14:paraId="6079FA35">
            <w:pPr>
              <w:pStyle w:val="42"/>
              <w:rPr>
                <w:rFonts w:ascii="Times New Roman" w:hAnsi="Times New Roman" w:eastAsia="宋体" w:cs="Times New Roman"/>
                <w:color w:val="auto"/>
                <w:spacing w:val="-7"/>
                <w:sz w:val="24"/>
                <w:szCs w:val="24"/>
              </w:rPr>
            </w:pPr>
          </w:p>
          <w:p w14:paraId="208E2C18">
            <w:pPr>
              <w:pStyle w:val="42"/>
              <w:rPr>
                <w:rFonts w:ascii="Times New Roman" w:hAnsi="Times New Roman" w:eastAsia="宋体" w:cs="Times New Roman"/>
                <w:color w:val="auto"/>
                <w:spacing w:val="-7"/>
                <w:sz w:val="24"/>
                <w:szCs w:val="24"/>
              </w:rPr>
            </w:pPr>
          </w:p>
          <w:p w14:paraId="275EF608">
            <w:pPr>
              <w:pStyle w:val="42"/>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7"/>
                <w:sz w:val="24"/>
                <w:szCs w:val="24"/>
              </w:rPr>
              <w:t>分类</w:t>
            </w:r>
          </w:p>
        </w:tc>
        <w:tc>
          <w:tcPr>
            <w:tcW w:w="723" w:type="pct"/>
            <w:tcBorders>
              <w:tl2br w:val="nil"/>
              <w:tr2bl w:val="nil"/>
            </w:tcBorders>
            <w:vAlign w:val="center"/>
          </w:tcPr>
          <w:p w14:paraId="79512DD5">
            <w:pPr>
              <w:pStyle w:val="42"/>
              <w:jc w:val="center"/>
              <w:rPr>
                <w:rFonts w:ascii="Times New Roman" w:hAnsi="Times New Roman" w:eastAsia="宋体" w:cs="Times New Roman"/>
                <w:color w:val="auto"/>
                <w:sz w:val="24"/>
                <w:szCs w:val="24"/>
              </w:rPr>
            </w:pPr>
            <w:r>
              <w:rPr>
                <w:rFonts w:ascii="Times New Roman" w:hAnsi="Times New Roman" w:eastAsia="宋体" w:cs="Times New Roman"/>
                <w:color w:val="auto"/>
                <w:spacing w:val="-10"/>
                <w:sz w:val="24"/>
                <w:szCs w:val="24"/>
              </w:rPr>
              <w:t>污染物名称</w:t>
            </w:r>
          </w:p>
        </w:tc>
        <w:tc>
          <w:tcPr>
            <w:tcW w:w="535" w:type="pct"/>
            <w:tcBorders>
              <w:tl2br w:val="nil"/>
              <w:tr2bl w:val="nil"/>
            </w:tcBorders>
            <w:vAlign w:val="center"/>
          </w:tcPr>
          <w:p w14:paraId="0D324870">
            <w:pPr>
              <w:pStyle w:val="42"/>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pacing w:val="-11"/>
                <w:sz w:val="24"/>
                <w:szCs w:val="24"/>
                <w:lang w:eastAsia="zh-CN"/>
              </w:rPr>
              <w:t>原有工程</w:t>
            </w:r>
            <w:r>
              <w:rPr>
                <w:rFonts w:ascii="Times New Roman" w:hAnsi="Times New Roman" w:eastAsia="宋体" w:cs="Times New Roman"/>
                <w:color w:val="auto"/>
                <w:spacing w:val="-11"/>
                <w:sz w:val="24"/>
                <w:szCs w:val="24"/>
                <w:lang w:eastAsia="zh-CN"/>
              </w:rPr>
              <w:t>排放量（固废产生量）</w:t>
            </w:r>
            <w:r>
              <w:rPr>
                <w:rFonts w:hint="eastAsia" w:ascii="宋体" w:hAnsi="宋体" w:eastAsia="宋体" w:cs="宋体"/>
                <w:color w:val="auto"/>
                <w:sz w:val="24"/>
                <w:szCs w:val="24"/>
                <w:lang w:val="en-US" w:eastAsia="zh-CN"/>
              </w:rPr>
              <w:t>①</w:t>
            </w:r>
          </w:p>
        </w:tc>
        <w:tc>
          <w:tcPr>
            <w:tcW w:w="535" w:type="pct"/>
            <w:tcBorders>
              <w:tl2br w:val="nil"/>
              <w:tr2bl w:val="nil"/>
            </w:tcBorders>
            <w:vAlign w:val="center"/>
          </w:tcPr>
          <w:p w14:paraId="62781BD8">
            <w:pPr>
              <w:pStyle w:val="42"/>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pacing w:val="-11"/>
                <w:sz w:val="24"/>
                <w:szCs w:val="24"/>
                <w:lang w:eastAsia="zh-CN"/>
              </w:rPr>
              <w:t>原有工程</w:t>
            </w:r>
            <w:r>
              <w:rPr>
                <w:rFonts w:ascii="Times New Roman" w:hAnsi="Times New Roman" w:eastAsia="宋体" w:cs="Times New Roman"/>
                <w:color w:val="auto"/>
                <w:spacing w:val="-11"/>
                <w:sz w:val="24"/>
                <w:szCs w:val="24"/>
              </w:rPr>
              <w:t>许可排</w:t>
            </w:r>
            <w:r>
              <w:rPr>
                <w:rFonts w:ascii="Times New Roman" w:hAnsi="Times New Roman" w:eastAsia="宋体" w:cs="Times New Roman"/>
                <w:color w:val="auto"/>
                <w:spacing w:val="-7"/>
                <w:sz w:val="24"/>
                <w:szCs w:val="24"/>
              </w:rPr>
              <w:t>放量</w:t>
            </w:r>
            <w:r>
              <w:rPr>
                <w:rFonts w:hint="eastAsia" w:ascii="Times New Roman" w:hAnsi="Times New Roman" w:eastAsia="宋体" w:cs="Times New Roman"/>
                <w:color w:val="auto"/>
                <w:spacing w:val="-7"/>
                <w:sz w:val="24"/>
                <w:szCs w:val="24"/>
                <w:lang w:val="en-US" w:eastAsia="zh-CN"/>
              </w:rPr>
              <w:t>②</w:t>
            </w:r>
          </w:p>
        </w:tc>
        <w:tc>
          <w:tcPr>
            <w:tcW w:w="535" w:type="pct"/>
            <w:tcBorders>
              <w:tl2br w:val="nil"/>
              <w:tr2bl w:val="nil"/>
            </w:tcBorders>
            <w:vAlign w:val="center"/>
          </w:tcPr>
          <w:p w14:paraId="09EC3FD7">
            <w:pPr>
              <w:pStyle w:val="42"/>
              <w:jc w:val="center"/>
              <w:rPr>
                <w:rFonts w:hint="default" w:ascii="Times New Roman" w:hAnsi="Times New Roman" w:eastAsia="宋体" w:cs="Times New Roman"/>
                <w:color w:val="auto"/>
                <w:sz w:val="24"/>
                <w:szCs w:val="24"/>
                <w:lang w:val="en-US" w:eastAsia="zh-CN"/>
              </w:rPr>
            </w:pPr>
            <w:r>
              <w:rPr>
                <w:rFonts w:ascii="Times New Roman" w:hAnsi="Times New Roman" w:eastAsia="宋体" w:cs="Times New Roman"/>
                <w:color w:val="auto"/>
                <w:spacing w:val="-11"/>
                <w:sz w:val="24"/>
                <w:szCs w:val="24"/>
                <w:lang w:eastAsia="zh-CN"/>
              </w:rPr>
              <w:t>在建工程排放量（固废产生量）</w:t>
            </w:r>
            <w:r>
              <w:rPr>
                <w:rFonts w:hint="eastAsia" w:ascii="Times New Roman" w:hAnsi="Times New Roman" w:eastAsia="宋体" w:cs="Times New Roman"/>
                <w:color w:val="auto"/>
                <w:spacing w:val="-11"/>
                <w:sz w:val="24"/>
                <w:szCs w:val="24"/>
                <w:lang w:val="en-US" w:eastAsia="zh-CN"/>
              </w:rPr>
              <w:t>③</w:t>
            </w:r>
          </w:p>
        </w:tc>
        <w:tc>
          <w:tcPr>
            <w:tcW w:w="535" w:type="pct"/>
            <w:tcBorders>
              <w:tl2br w:val="nil"/>
              <w:tr2bl w:val="nil"/>
            </w:tcBorders>
            <w:vAlign w:val="center"/>
          </w:tcPr>
          <w:p w14:paraId="662E68E5">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11"/>
                <w:sz w:val="24"/>
                <w:szCs w:val="24"/>
                <w:lang w:eastAsia="zh-CN"/>
              </w:rPr>
              <w:t>本项目排放量</w:t>
            </w:r>
          </w:p>
          <w:p w14:paraId="77F12F18">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11"/>
                <w:sz w:val="24"/>
                <w:szCs w:val="24"/>
                <w:lang w:eastAsia="zh-CN"/>
              </w:rPr>
              <w:t>（固废产生量）</w:t>
            </w:r>
            <w:r>
              <w:rPr>
                <w:rFonts w:hint="eastAsia" w:ascii="宋体" w:hAnsi="宋体" w:eastAsia="宋体" w:cs="宋体"/>
                <w:color w:val="auto"/>
                <w:sz w:val="24"/>
                <w:szCs w:val="24"/>
                <w:lang w:val="en-US" w:eastAsia="zh-CN"/>
              </w:rPr>
              <w:t>④</w:t>
            </w:r>
          </w:p>
        </w:tc>
        <w:tc>
          <w:tcPr>
            <w:tcW w:w="535" w:type="pct"/>
            <w:tcBorders>
              <w:tl2br w:val="nil"/>
              <w:tr2bl w:val="nil"/>
            </w:tcBorders>
            <w:vAlign w:val="center"/>
          </w:tcPr>
          <w:p w14:paraId="6ADBD2E3">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28"/>
                <w:sz w:val="24"/>
                <w:szCs w:val="24"/>
                <w:lang w:eastAsia="zh-CN"/>
              </w:rPr>
              <w:t>以新带老削减量</w:t>
            </w:r>
          </w:p>
          <w:p w14:paraId="115E4CA4">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29"/>
                <w:sz w:val="24"/>
                <w:szCs w:val="24"/>
                <w:lang w:eastAsia="zh-CN"/>
              </w:rPr>
              <w:t>（新建项目不填）</w:t>
            </w:r>
            <w:r>
              <w:rPr>
                <w:rFonts w:hint="eastAsia" w:ascii="宋体" w:hAnsi="宋体" w:eastAsia="宋体" w:cs="宋体"/>
                <w:color w:val="auto"/>
                <w:sz w:val="24"/>
                <w:szCs w:val="24"/>
                <w:lang w:val="en-US" w:eastAsia="zh-CN"/>
              </w:rPr>
              <w:t>⑤</w:t>
            </w:r>
          </w:p>
        </w:tc>
        <w:tc>
          <w:tcPr>
            <w:tcW w:w="535" w:type="pct"/>
            <w:tcBorders>
              <w:tl2br w:val="nil"/>
              <w:tr2bl w:val="nil"/>
            </w:tcBorders>
            <w:vAlign w:val="center"/>
          </w:tcPr>
          <w:p w14:paraId="442BC82C">
            <w:pPr>
              <w:pStyle w:val="42"/>
              <w:jc w:val="center"/>
              <w:rPr>
                <w:rFonts w:ascii="Times New Roman" w:hAnsi="Times New Roman" w:eastAsia="宋体" w:cs="Times New Roman"/>
                <w:color w:val="auto"/>
                <w:sz w:val="24"/>
                <w:szCs w:val="24"/>
                <w:lang w:eastAsia="zh-CN"/>
              </w:rPr>
            </w:pPr>
            <w:r>
              <w:rPr>
                <w:rFonts w:ascii="Times New Roman" w:hAnsi="Times New Roman" w:eastAsia="宋体" w:cs="Times New Roman"/>
                <w:color w:val="auto"/>
                <w:spacing w:val="-29"/>
                <w:sz w:val="24"/>
                <w:szCs w:val="24"/>
                <w:lang w:eastAsia="zh-CN"/>
              </w:rPr>
              <w:t>本项目建成后排放量（固废产生量）</w:t>
            </w:r>
            <w:r>
              <w:rPr>
                <w:rFonts w:hint="eastAsia" w:ascii="宋体" w:hAnsi="宋体" w:eastAsia="宋体" w:cs="宋体"/>
                <w:color w:val="auto"/>
                <w:sz w:val="24"/>
                <w:szCs w:val="24"/>
                <w:lang w:val="en-US" w:eastAsia="zh-CN"/>
              </w:rPr>
              <w:t>⑥</w:t>
            </w:r>
          </w:p>
        </w:tc>
        <w:tc>
          <w:tcPr>
            <w:tcW w:w="535" w:type="pct"/>
            <w:tcBorders>
              <w:tl2br w:val="nil"/>
              <w:tr2bl w:val="nil"/>
            </w:tcBorders>
            <w:vAlign w:val="center"/>
          </w:tcPr>
          <w:p w14:paraId="05BD755D">
            <w:pPr>
              <w:pStyle w:val="42"/>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pacing w:val="-10"/>
                <w:sz w:val="24"/>
                <w:szCs w:val="24"/>
                <w:lang w:eastAsia="zh-CN"/>
              </w:rPr>
              <w:t>变化量</w:t>
            </w:r>
            <w:r>
              <w:rPr>
                <w:rFonts w:hint="eastAsia" w:ascii="宋体" w:hAnsi="宋体" w:eastAsia="宋体" w:cs="宋体"/>
                <w:color w:val="auto"/>
                <w:sz w:val="24"/>
                <w:szCs w:val="24"/>
                <w:lang w:val="en-US" w:eastAsia="zh-CN"/>
              </w:rPr>
              <w:t>⑦</w:t>
            </w:r>
          </w:p>
        </w:tc>
      </w:tr>
      <w:tr w14:paraId="041E31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restart"/>
            <w:tcBorders>
              <w:tl2br w:val="nil"/>
              <w:tr2bl w:val="nil"/>
            </w:tcBorders>
            <w:vAlign w:val="center"/>
          </w:tcPr>
          <w:p w14:paraId="02F99E6E">
            <w:pPr>
              <w:pStyle w:val="42"/>
              <w:jc w:val="center"/>
              <w:rPr>
                <w:rFonts w:hint="eastAsia" w:ascii="Times New Roman" w:hAnsi="Times New Roman" w:eastAsia="宋体" w:cs="Times New Roman"/>
                <w:color w:val="auto"/>
                <w:spacing w:val="-7"/>
                <w:sz w:val="24"/>
                <w:szCs w:val="24"/>
                <w:lang w:val="en-US" w:eastAsia="zh-CN"/>
              </w:rPr>
            </w:pPr>
            <w:r>
              <w:rPr>
                <w:rFonts w:ascii="Times New Roman" w:hAnsi="Times New Roman" w:eastAsia="宋体" w:cs="Times New Roman"/>
                <w:color w:val="auto"/>
                <w:sz w:val="24"/>
                <w:szCs w:val="24"/>
              </w:rPr>
              <w:t>废</w:t>
            </w:r>
            <w:r>
              <w:rPr>
                <w:rFonts w:hint="eastAsia" w:ascii="Times New Roman" w:hAnsi="Times New Roman" w:eastAsia="宋体" w:cs="Times New Roman"/>
                <w:color w:val="auto"/>
                <w:sz w:val="24"/>
                <w:szCs w:val="24"/>
                <w:lang w:val="en-US" w:eastAsia="zh-CN"/>
              </w:rPr>
              <w:t>气</w:t>
            </w:r>
          </w:p>
        </w:tc>
        <w:tc>
          <w:tcPr>
            <w:tcW w:w="723" w:type="pct"/>
            <w:tcBorders>
              <w:tl2br w:val="nil"/>
              <w:tr2bl w:val="nil"/>
            </w:tcBorders>
            <w:vAlign w:val="center"/>
          </w:tcPr>
          <w:p w14:paraId="7249A56E">
            <w:pPr>
              <w:pStyle w:val="42"/>
              <w:jc w:val="center"/>
              <w:rPr>
                <w:rFonts w:hint="eastAsia" w:ascii="Times New Roman" w:hAnsi="Times New Roman" w:eastAsia="宋体" w:cs="Times New Roman"/>
                <w:color w:val="auto"/>
                <w:spacing w:val="-10"/>
                <w:sz w:val="24"/>
                <w:szCs w:val="24"/>
                <w:lang w:val="en-US" w:eastAsia="zh-CN"/>
              </w:rPr>
            </w:pPr>
            <w:r>
              <w:rPr>
                <w:rFonts w:hint="eastAsia" w:ascii="Times New Roman" w:hAnsi="Times New Roman" w:eastAsia="宋体" w:cs="Times New Roman"/>
                <w:color w:val="auto"/>
                <w:spacing w:val="-10"/>
                <w:sz w:val="24"/>
                <w:szCs w:val="24"/>
                <w:lang w:val="en-US" w:eastAsia="zh-CN"/>
              </w:rPr>
              <w:t>颗粒物</w:t>
            </w:r>
          </w:p>
        </w:tc>
        <w:tc>
          <w:tcPr>
            <w:tcW w:w="535" w:type="pct"/>
            <w:tcBorders>
              <w:tl2br w:val="nil"/>
              <w:tr2bl w:val="nil"/>
            </w:tcBorders>
            <w:vAlign w:val="center"/>
          </w:tcPr>
          <w:p w14:paraId="7FC38CFC">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0.45</w:t>
            </w:r>
          </w:p>
        </w:tc>
        <w:tc>
          <w:tcPr>
            <w:tcW w:w="535" w:type="pct"/>
            <w:tcBorders>
              <w:tl2br w:val="nil"/>
              <w:tr2bl w:val="nil"/>
            </w:tcBorders>
            <w:vAlign w:val="center"/>
          </w:tcPr>
          <w:p w14:paraId="603D6B18">
            <w:pPr>
              <w:jc w:val="center"/>
              <w:rPr>
                <w:rFonts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lang w:val="en-US" w:eastAsia="zh-CN"/>
              </w:rPr>
              <w:t>7.04</w:t>
            </w:r>
          </w:p>
        </w:tc>
        <w:tc>
          <w:tcPr>
            <w:tcW w:w="535" w:type="pct"/>
            <w:tcBorders>
              <w:tl2br w:val="nil"/>
              <w:tr2bl w:val="nil"/>
            </w:tcBorders>
            <w:vAlign w:val="center"/>
          </w:tcPr>
          <w:p w14:paraId="0EC01955">
            <w:pPr>
              <w:jc w:val="center"/>
              <w:rPr>
                <w:rFonts w:ascii="Times New Roman" w:hAnsi="Times New Roman" w:eastAsia="宋体" w:cs="Times New Roman"/>
                <w:color w:val="auto"/>
                <w:spacing w:val="-11"/>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17A02D78">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z w:val="24"/>
                <w:szCs w:val="24"/>
                <w:lang w:val="en-US" w:eastAsia="zh-CN"/>
              </w:rPr>
              <w:t>0.57</w:t>
            </w:r>
          </w:p>
        </w:tc>
        <w:tc>
          <w:tcPr>
            <w:tcW w:w="535" w:type="pct"/>
            <w:tcBorders>
              <w:tl2br w:val="nil"/>
              <w:tr2bl w:val="nil"/>
            </w:tcBorders>
            <w:vAlign w:val="center"/>
          </w:tcPr>
          <w:p w14:paraId="1EC54C36">
            <w:pPr>
              <w:jc w:val="center"/>
              <w:rPr>
                <w:rFonts w:ascii="Times New Roman" w:hAnsi="Times New Roman" w:eastAsia="宋体" w:cs="Times New Roman"/>
                <w:color w:val="auto"/>
                <w:spacing w:val="-29"/>
                <w:sz w:val="24"/>
                <w:szCs w:val="24"/>
                <w:lang w:eastAsia="zh-CN"/>
              </w:rPr>
            </w:pPr>
            <w:r>
              <w:rPr>
                <w:rFonts w:hint="eastAsia" w:ascii="Times New Roman" w:hAnsi="Times New Roman" w:eastAsia="宋体" w:cs="Times New Roman"/>
                <w:color w:val="auto"/>
                <w:spacing w:val="-29"/>
                <w:sz w:val="24"/>
                <w:szCs w:val="24"/>
                <w:lang w:val="en-US" w:eastAsia="zh-CN"/>
              </w:rPr>
              <w:t>6.59</w:t>
            </w:r>
          </w:p>
        </w:tc>
        <w:tc>
          <w:tcPr>
            <w:tcW w:w="535" w:type="pct"/>
            <w:tcBorders>
              <w:tl2br w:val="nil"/>
              <w:tr2bl w:val="nil"/>
            </w:tcBorders>
            <w:vAlign w:val="center"/>
          </w:tcPr>
          <w:p w14:paraId="6F8277AB">
            <w:pPr>
              <w:jc w:val="center"/>
              <w:rPr>
                <w:rFonts w:hint="default" w:ascii="Times New Roman" w:hAnsi="Times New Roman" w:eastAsia="宋体" w:cs="Times New Roman"/>
                <w:color w:val="auto"/>
                <w:spacing w:val="-29"/>
                <w:sz w:val="24"/>
                <w:szCs w:val="24"/>
                <w:lang w:val="en-US" w:eastAsia="zh-CN"/>
              </w:rPr>
            </w:pPr>
            <w:r>
              <w:rPr>
                <w:rFonts w:hint="eastAsia" w:ascii="Times New Roman" w:hAnsi="Times New Roman" w:eastAsia="宋体" w:cs="Times New Roman"/>
                <w:color w:val="auto"/>
                <w:sz w:val="24"/>
                <w:szCs w:val="24"/>
                <w:lang w:val="en-US" w:eastAsia="zh-CN"/>
              </w:rPr>
              <w:t>1.02</w:t>
            </w:r>
          </w:p>
        </w:tc>
        <w:tc>
          <w:tcPr>
            <w:tcW w:w="535" w:type="pct"/>
            <w:tcBorders>
              <w:tl2br w:val="nil"/>
              <w:tr2bl w:val="nil"/>
            </w:tcBorders>
            <w:vAlign w:val="center"/>
          </w:tcPr>
          <w:p w14:paraId="77719D6F">
            <w:pPr>
              <w:jc w:val="center"/>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-6.02</w:t>
            </w:r>
          </w:p>
        </w:tc>
      </w:tr>
      <w:tr w14:paraId="5C32A5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continue"/>
            <w:tcBorders>
              <w:tl2br w:val="nil"/>
              <w:tr2bl w:val="nil"/>
            </w:tcBorders>
            <w:vAlign w:val="center"/>
          </w:tcPr>
          <w:p w14:paraId="1982E884">
            <w:pPr>
              <w:pStyle w:val="42"/>
              <w:jc w:val="center"/>
              <w:rPr>
                <w:rFonts w:ascii="Times New Roman" w:hAnsi="Times New Roman" w:eastAsia="宋体" w:cs="Times New Roman"/>
                <w:color w:val="auto"/>
                <w:sz w:val="24"/>
                <w:szCs w:val="24"/>
              </w:rPr>
            </w:pPr>
          </w:p>
        </w:tc>
        <w:tc>
          <w:tcPr>
            <w:tcW w:w="723" w:type="pct"/>
            <w:tcBorders>
              <w:tl2br w:val="nil"/>
              <w:tr2bl w:val="nil"/>
            </w:tcBorders>
            <w:vAlign w:val="center"/>
          </w:tcPr>
          <w:p w14:paraId="1BF800BF">
            <w:pPr>
              <w:pStyle w:val="42"/>
              <w:jc w:val="center"/>
              <w:rPr>
                <w:rFonts w:hint="default" w:ascii="Times New Roman" w:hAnsi="Times New Roman" w:eastAsia="宋体" w:cs="Times New Roman"/>
                <w:color w:val="auto"/>
                <w:spacing w:val="-10"/>
                <w:sz w:val="24"/>
                <w:szCs w:val="24"/>
                <w:lang w:val="en-US" w:eastAsia="zh-CN"/>
              </w:rPr>
            </w:pPr>
            <w:r>
              <w:rPr>
                <w:rFonts w:hint="eastAsia" w:ascii="Times New Roman" w:hAnsi="Times New Roman" w:eastAsia="宋体" w:cs="Times New Roman"/>
                <w:color w:val="auto"/>
                <w:spacing w:val="-10"/>
                <w:sz w:val="24"/>
                <w:szCs w:val="24"/>
                <w:lang w:val="en-US" w:eastAsia="zh-CN"/>
              </w:rPr>
              <w:t>二氧化硫</w:t>
            </w:r>
          </w:p>
        </w:tc>
        <w:tc>
          <w:tcPr>
            <w:tcW w:w="535" w:type="pct"/>
            <w:tcBorders>
              <w:tl2br w:val="nil"/>
              <w:tr2bl w:val="nil"/>
            </w:tcBorders>
            <w:vAlign w:val="center"/>
          </w:tcPr>
          <w:p w14:paraId="6C8004F2">
            <w:pPr>
              <w:jc w:val="center"/>
              <w:rPr>
                <w:rFonts w:hint="eastAsia" w:ascii="Times New Roman" w:hAnsi="Times New Roman" w:eastAsia="宋体" w:cs="Times New Roman"/>
                <w:color w:val="auto"/>
                <w:spacing w:val="-11"/>
                <w:sz w:val="24"/>
                <w:szCs w:val="24"/>
                <w:lang w:val="en-US" w:eastAsia="zh-CN"/>
              </w:rPr>
            </w:pPr>
            <w:r>
              <w:rPr>
                <w:rFonts w:hint="default" w:ascii="Times New Roman" w:hAnsi="Times New Roman" w:eastAsia="宋体" w:cs="Times New Roman"/>
                <w:color w:val="auto"/>
                <w:spacing w:val="-11"/>
                <w:sz w:val="24"/>
                <w:szCs w:val="24"/>
                <w:lang w:val="en-US" w:eastAsia="zh-CN"/>
              </w:rPr>
              <w:t>1.34</w:t>
            </w:r>
          </w:p>
        </w:tc>
        <w:tc>
          <w:tcPr>
            <w:tcW w:w="535" w:type="pct"/>
            <w:tcBorders>
              <w:tl2br w:val="nil"/>
              <w:tr2bl w:val="nil"/>
            </w:tcBorders>
            <w:vAlign w:val="center"/>
          </w:tcPr>
          <w:p w14:paraId="30CA122B">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5.67</w:t>
            </w:r>
          </w:p>
        </w:tc>
        <w:tc>
          <w:tcPr>
            <w:tcW w:w="535" w:type="pct"/>
            <w:tcBorders>
              <w:tl2br w:val="nil"/>
              <w:tr2bl w:val="nil"/>
            </w:tcBorders>
            <w:vAlign w:val="center"/>
          </w:tcPr>
          <w:p w14:paraId="5E8123FE">
            <w:pPr>
              <w:jc w:val="center"/>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w:t>
            </w:r>
          </w:p>
        </w:tc>
        <w:tc>
          <w:tcPr>
            <w:tcW w:w="535" w:type="pct"/>
            <w:tcBorders>
              <w:tl2br w:val="nil"/>
              <w:tr2bl w:val="nil"/>
            </w:tcBorders>
            <w:vAlign w:val="center"/>
          </w:tcPr>
          <w:p w14:paraId="4644574C">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0</w:t>
            </w:r>
          </w:p>
        </w:tc>
        <w:tc>
          <w:tcPr>
            <w:tcW w:w="535" w:type="pct"/>
            <w:tcBorders>
              <w:tl2br w:val="nil"/>
              <w:tr2bl w:val="nil"/>
            </w:tcBorders>
            <w:vAlign w:val="center"/>
          </w:tcPr>
          <w:p w14:paraId="6CF9B9D1">
            <w:pPr>
              <w:jc w:val="center"/>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4.33</w:t>
            </w:r>
          </w:p>
        </w:tc>
        <w:tc>
          <w:tcPr>
            <w:tcW w:w="535" w:type="pct"/>
            <w:tcBorders>
              <w:tl2br w:val="nil"/>
              <w:tr2bl w:val="nil"/>
            </w:tcBorders>
            <w:vAlign w:val="center"/>
          </w:tcPr>
          <w:p w14:paraId="2024CDFC">
            <w:pPr>
              <w:jc w:val="center"/>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0</w:t>
            </w:r>
          </w:p>
        </w:tc>
        <w:tc>
          <w:tcPr>
            <w:tcW w:w="535" w:type="pct"/>
            <w:tcBorders>
              <w:tl2br w:val="nil"/>
              <w:tr2bl w:val="nil"/>
            </w:tcBorders>
            <w:vAlign w:val="center"/>
          </w:tcPr>
          <w:p w14:paraId="3E33E768">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w:t>
            </w:r>
            <w:r>
              <w:rPr>
                <w:rFonts w:hint="default" w:ascii="Times New Roman" w:hAnsi="Times New Roman" w:eastAsia="宋体" w:cs="Times New Roman"/>
                <w:color w:val="auto"/>
                <w:spacing w:val="-11"/>
                <w:sz w:val="24"/>
                <w:szCs w:val="24"/>
                <w:lang w:val="en-US" w:eastAsia="zh-CN"/>
              </w:rPr>
              <w:t>1.34</w:t>
            </w:r>
          </w:p>
        </w:tc>
      </w:tr>
      <w:tr w14:paraId="21AC8E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continue"/>
            <w:tcBorders>
              <w:tl2br w:val="nil"/>
              <w:tr2bl w:val="nil"/>
            </w:tcBorders>
            <w:vAlign w:val="center"/>
          </w:tcPr>
          <w:p w14:paraId="17F27875">
            <w:pPr>
              <w:pStyle w:val="42"/>
              <w:jc w:val="center"/>
              <w:rPr>
                <w:rFonts w:ascii="Times New Roman" w:hAnsi="Times New Roman" w:eastAsia="宋体" w:cs="Times New Roman"/>
                <w:color w:val="auto"/>
                <w:sz w:val="24"/>
                <w:szCs w:val="24"/>
              </w:rPr>
            </w:pPr>
          </w:p>
        </w:tc>
        <w:tc>
          <w:tcPr>
            <w:tcW w:w="723" w:type="pct"/>
            <w:tcBorders>
              <w:tl2br w:val="nil"/>
              <w:tr2bl w:val="nil"/>
            </w:tcBorders>
            <w:vAlign w:val="center"/>
          </w:tcPr>
          <w:p w14:paraId="355B83C8">
            <w:pPr>
              <w:pStyle w:val="42"/>
              <w:jc w:val="center"/>
              <w:rPr>
                <w:rFonts w:hint="default" w:ascii="Times New Roman" w:hAnsi="Times New Roman" w:eastAsia="宋体" w:cs="Times New Roman"/>
                <w:color w:val="auto"/>
                <w:spacing w:val="-10"/>
                <w:sz w:val="24"/>
                <w:szCs w:val="24"/>
                <w:lang w:val="en-US" w:eastAsia="zh-CN"/>
              </w:rPr>
            </w:pPr>
            <w:r>
              <w:rPr>
                <w:rFonts w:hint="eastAsia" w:ascii="Times New Roman" w:hAnsi="Times New Roman" w:eastAsia="宋体" w:cs="Times New Roman"/>
                <w:color w:val="auto"/>
                <w:spacing w:val="-10"/>
                <w:sz w:val="24"/>
                <w:szCs w:val="24"/>
                <w:lang w:val="en-US" w:eastAsia="zh-CN"/>
              </w:rPr>
              <w:t>氮氧化物</w:t>
            </w:r>
          </w:p>
        </w:tc>
        <w:tc>
          <w:tcPr>
            <w:tcW w:w="535" w:type="pct"/>
            <w:tcBorders>
              <w:tl2br w:val="nil"/>
              <w:tr2bl w:val="nil"/>
            </w:tcBorders>
            <w:vAlign w:val="center"/>
          </w:tcPr>
          <w:p w14:paraId="7AF49ADF">
            <w:pPr>
              <w:jc w:val="center"/>
              <w:rPr>
                <w:rFonts w:hint="eastAsia" w:ascii="Times New Roman" w:hAnsi="Times New Roman" w:eastAsia="宋体" w:cs="Times New Roman"/>
                <w:color w:val="auto"/>
                <w:spacing w:val="-11"/>
                <w:sz w:val="24"/>
                <w:szCs w:val="24"/>
                <w:lang w:val="en-US" w:eastAsia="zh-CN"/>
              </w:rPr>
            </w:pPr>
            <w:r>
              <w:rPr>
                <w:rFonts w:hint="default" w:ascii="Times New Roman" w:hAnsi="Times New Roman" w:eastAsia="宋体" w:cs="Times New Roman"/>
                <w:color w:val="auto"/>
                <w:spacing w:val="-11"/>
                <w:sz w:val="24"/>
                <w:szCs w:val="24"/>
                <w:lang w:val="en-US" w:eastAsia="zh-CN"/>
              </w:rPr>
              <w:t>3.9</w:t>
            </w:r>
          </w:p>
        </w:tc>
        <w:tc>
          <w:tcPr>
            <w:tcW w:w="535" w:type="pct"/>
            <w:tcBorders>
              <w:tl2br w:val="nil"/>
              <w:tr2bl w:val="nil"/>
            </w:tcBorders>
            <w:vAlign w:val="center"/>
          </w:tcPr>
          <w:p w14:paraId="6073DE53">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38.55</w:t>
            </w:r>
          </w:p>
        </w:tc>
        <w:tc>
          <w:tcPr>
            <w:tcW w:w="535" w:type="pct"/>
            <w:tcBorders>
              <w:tl2br w:val="nil"/>
              <w:tr2bl w:val="nil"/>
            </w:tcBorders>
            <w:vAlign w:val="center"/>
          </w:tcPr>
          <w:p w14:paraId="0CE0EA82">
            <w:pPr>
              <w:jc w:val="center"/>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w:t>
            </w:r>
          </w:p>
        </w:tc>
        <w:tc>
          <w:tcPr>
            <w:tcW w:w="535" w:type="pct"/>
            <w:tcBorders>
              <w:tl2br w:val="nil"/>
              <w:tr2bl w:val="nil"/>
            </w:tcBorders>
            <w:vAlign w:val="center"/>
          </w:tcPr>
          <w:p w14:paraId="5F17C1D3">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0</w:t>
            </w:r>
          </w:p>
        </w:tc>
        <w:tc>
          <w:tcPr>
            <w:tcW w:w="535" w:type="pct"/>
            <w:tcBorders>
              <w:tl2br w:val="nil"/>
              <w:tr2bl w:val="nil"/>
            </w:tcBorders>
            <w:vAlign w:val="center"/>
          </w:tcPr>
          <w:p w14:paraId="2E1397EB">
            <w:pPr>
              <w:jc w:val="center"/>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34.65</w:t>
            </w:r>
          </w:p>
        </w:tc>
        <w:tc>
          <w:tcPr>
            <w:tcW w:w="535" w:type="pct"/>
            <w:tcBorders>
              <w:tl2br w:val="nil"/>
              <w:tr2bl w:val="nil"/>
            </w:tcBorders>
            <w:vAlign w:val="center"/>
          </w:tcPr>
          <w:p w14:paraId="254DFC8F">
            <w:pPr>
              <w:jc w:val="center"/>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0</w:t>
            </w:r>
          </w:p>
        </w:tc>
        <w:tc>
          <w:tcPr>
            <w:tcW w:w="535" w:type="pct"/>
            <w:tcBorders>
              <w:tl2br w:val="nil"/>
              <w:tr2bl w:val="nil"/>
            </w:tcBorders>
            <w:vAlign w:val="center"/>
          </w:tcPr>
          <w:p w14:paraId="3418D25E">
            <w:pPr>
              <w:jc w:val="center"/>
              <w:rPr>
                <w:rFonts w:hint="default"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w:t>
            </w:r>
            <w:r>
              <w:rPr>
                <w:rFonts w:hint="default" w:ascii="Times New Roman" w:hAnsi="Times New Roman" w:eastAsia="宋体" w:cs="Times New Roman"/>
                <w:color w:val="auto"/>
                <w:spacing w:val="-11"/>
                <w:sz w:val="24"/>
                <w:szCs w:val="24"/>
                <w:lang w:val="en-US" w:eastAsia="zh-CN"/>
              </w:rPr>
              <w:t>3.9</w:t>
            </w:r>
          </w:p>
        </w:tc>
      </w:tr>
      <w:tr w14:paraId="29009A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restart"/>
            <w:tcBorders>
              <w:tl2br w:val="nil"/>
              <w:tr2bl w:val="nil"/>
            </w:tcBorders>
            <w:vAlign w:val="center"/>
          </w:tcPr>
          <w:p w14:paraId="7EBEB57D">
            <w:pPr>
              <w:pStyle w:val="42"/>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废水</w:t>
            </w:r>
          </w:p>
        </w:tc>
        <w:tc>
          <w:tcPr>
            <w:tcW w:w="723" w:type="pct"/>
            <w:tcBorders>
              <w:tl2br w:val="nil"/>
              <w:tr2bl w:val="nil"/>
            </w:tcBorders>
            <w:vAlign w:val="center"/>
          </w:tcPr>
          <w:p w14:paraId="6BC626B0">
            <w:pPr>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lang w:eastAsia="zh-CN"/>
              </w:rPr>
              <w:t>COD</w:t>
            </w:r>
          </w:p>
        </w:tc>
        <w:tc>
          <w:tcPr>
            <w:tcW w:w="535" w:type="pct"/>
            <w:tcBorders>
              <w:tl2br w:val="nil"/>
              <w:tr2bl w:val="nil"/>
            </w:tcBorders>
            <w:vAlign w:val="center"/>
          </w:tcPr>
          <w:p w14:paraId="734E48FB">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FC9E4B3">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139C69B1">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6E40B4D9">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3FCA126B">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11CF271E">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1C054E2F">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r>
      <w:tr w14:paraId="01495E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continue"/>
            <w:tcBorders>
              <w:tl2br w:val="nil"/>
              <w:tr2bl w:val="nil"/>
            </w:tcBorders>
            <w:vAlign w:val="center"/>
          </w:tcPr>
          <w:p w14:paraId="4A7E1498">
            <w:pPr>
              <w:jc w:val="center"/>
              <w:rPr>
                <w:rFonts w:ascii="Times New Roman" w:hAnsi="Times New Roman" w:eastAsia="宋体" w:cs="Times New Roman"/>
                <w:color w:val="auto"/>
                <w:sz w:val="24"/>
                <w:szCs w:val="24"/>
              </w:rPr>
            </w:pPr>
          </w:p>
        </w:tc>
        <w:tc>
          <w:tcPr>
            <w:tcW w:w="723" w:type="pct"/>
            <w:tcBorders>
              <w:tl2br w:val="nil"/>
              <w:tr2bl w:val="nil"/>
            </w:tcBorders>
            <w:vAlign w:val="center"/>
          </w:tcPr>
          <w:p w14:paraId="4C9A3687">
            <w:pPr>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lang w:eastAsia="zh-CN"/>
              </w:rPr>
              <w:t>BOD</w:t>
            </w:r>
            <w:r>
              <w:rPr>
                <w:rFonts w:ascii="Times New Roman" w:hAnsi="Times New Roman" w:eastAsia="宋体" w:cs="Times New Roman"/>
                <w:color w:val="auto"/>
                <w:sz w:val="24"/>
                <w:szCs w:val="24"/>
                <w:vertAlign w:val="subscript"/>
                <w:lang w:eastAsia="zh-CN"/>
              </w:rPr>
              <w:t>5</w:t>
            </w:r>
          </w:p>
        </w:tc>
        <w:tc>
          <w:tcPr>
            <w:tcW w:w="535" w:type="pct"/>
            <w:tcBorders>
              <w:tl2br w:val="nil"/>
              <w:tr2bl w:val="nil"/>
            </w:tcBorders>
            <w:vAlign w:val="center"/>
          </w:tcPr>
          <w:p w14:paraId="0BD6F5E7">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517D82A9">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1A20F0BB">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67944221">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6580C4AB">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45EBA943">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13EB0945">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r>
      <w:tr w14:paraId="45DA94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continue"/>
            <w:tcBorders>
              <w:tl2br w:val="nil"/>
              <w:tr2bl w:val="nil"/>
            </w:tcBorders>
            <w:vAlign w:val="center"/>
          </w:tcPr>
          <w:p w14:paraId="6A588086">
            <w:pPr>
              <w:jc w:val="center"/>
              <w:rPr>
                <w:rFonts w:ascii="Times New Roman" w:hAnsi="Times New Roman" w:eastAsia="宋体" w:cs="Times New Roman"/>
                <w:color w:val="auto"/>
                <w:sz w:val="24"/>
                <w:szCs w:val="24"/>
              </w:rPr>
            </w:pPr>
          </w:p>
        </w:tc>
        <w:tc>
          <w:tcPr>
            <w:tcW w:w="723" w:type="pct"/>
            <w:tcBorders>
              <w:tl2br w:val="nil"/>
              <w:tr2bl w:val="nil"/>
            </w:tcBorders>
            <w:vAlign w:val="center"/>
          </w:tcPr>
          <w:p w14:paraId="5062AAFB">
            <w:pPr>
              <w:jc w:val="center"/>
              <w:rPr>
                <w:rFonts w:ascii="Times New Roman" w:hAnsi="Times New Roman" w:eastAsia="宋体" w:cs="Times New Roman"/>
                <w:color w:val="auto"/>
                <w:w w:val="99"/>
                <w:sz w:val="24"/>
                <w:szCs w:val="24"/>
              </w:rPr>
            </w:pPr>
            <w:r>
              <w:rPr>
                <w:rFonts w:ascii="Times New Roman" w:hAnsi="Times New Roman" w:eastAsia="宋体" w:cs="Times New Roman"/>
                <w:color w:val="auto"/>
                <w:sz w:val="24"/>
                <w:szCs w:val="24"/>
                <w:lang w:eastAsia="zh-CN"/>
              </w:rPr>
              <w:t>SS</w:t>
            </w:r>
          </w:p>
        </w:tc>
        <w:tc>
          <w:tcPr>
            <w:tcW w:w="535" w:type="pct"/>
            <w:tcBorders>
              <w:tl2br w:val="nil"/>
              <w:tr2bl w:val="nil"/>
            </w:tcBorders>
            <w:vAlign w:val="center"/>
          </w:tcPr>
          <w:p w14:paraId="75694498">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544CE05A">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EEAD571">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3EE2209">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6ED6724B">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7C9171FC">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5EEB09C2">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r>
      <w:tr w14:paraId="316402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continue"/>
            <w:tcBorders>
              <w:tl2br w:val="nil"/>
              <w:tr2bl w:val="nil"/>
            </w:tcBorders>
            <w:vAlign w:val="center"/>
          </w:tcPr>
          <w:p w14:paraId="22E662B2">
            <w:pPr>
              <w:jc w:val="center"/>
              <w:rPr>
                <w:rFonts w:ascii="Times New Roman" w:hAnsi="Times New Roman" w:eastAsia="宋体" w:cs="Times New Roman"/>
                <w:color w:val="auto"/>
                <w:sz w:val="24"/>
                <w:szCs w:val="24"/>
              </w:rPr>
            </w:pPr>
          </w:p>
        </w:tc>
        <w:tc>
          <w:tcPr>
            <w:tcW w:w="723" w:type="pct"/>
            <w:tcBorders>
              <w:tl2br w:val="nil"/>
              <w:tr2bl w:val="nil"/>
            </w:tcBorders>
            <w:vAlign w:val="center"/>
          </w:tcPr>
          <w:p w14:paraId="76F63123">
            <w:pPr>
              <w:jc w:val="center"/>
              <w:rPr>
                <w:rFonts w:ascii="Times New Roman" w:hAnsi="Times New Roman" w:eastAsia="宋体" w:cs="Times New Roman"/>
                <w:color w:val="auto"/>
                <w:w w:val="99"/>
                <w:sz w:val="24"/>
                <w:szCs w:val="24"/>
              </w:rPr>
            </w:pPr>
            <w:r>
              <w:rPr>
                <w:rFonts w:ascii="Times New Roman" w:hAnsi="Times New Roman" w:eastAsia="宋体" w:cs="Times New Roman"/>
                <w:color w:val="auto"/>
                <w:sz w:val="24"/>
                <w:szCs w:val="24"/>
                <w:lang w:eastAsia="zh-CN"/>
              </w:rPr>
              <w:t>NH</w:t>
            </w:r>
            <w:r>
              <w:rPr>
                <w:rFonts w:ascii="Times New Roman" w:hAnsi="Times New Roman" w:eastAsia="宋体" w:cs="Times New Roman"/>
                <w:color w:val="auto"/>
                <w:sz w:val="24"/>
                <w:szCs w:val="24"/>
                <w:vertAlign w:val="subscript"/>
                <w:lang w:eastAsia="zh-CN"/>
              </w:rPr>
              <w:t>3</w:t>
            </w:r>
            <w:r>
              <w:rPr>
                <w:rFonts w:ascii="Times New Roman" w:hAnsi="Times New Roman" w:eastAsia="宋体" w:cs="Times New Roman"/>
                <w:color w:val="auto"/>
                <w:sz w:val="24"/>
                <w:szCs w:val="24"/>
                <w:lang w:eastAsia="zh-CN"/>
              </w:rPr>
              <w:t>-N</w:t>
            </w:r>
          </w:p>
        </w:tc>
        <w:tc>
          <w:tcPr>
            <w:tcW w:w="535" w:type="pct"/>
            <w:tcBorders>
              <w:tl2br w:val="nil"/>
              <w:tr2bl w:val="nil"/>
            </w:tcBorders>
            <w:vAlign w:val="center"/>
          </w:tcPr>
          <w:p w14:paraId="11D6137E">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7C7E3317">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C4F2AAA">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E93A628">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6722E1CF">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028C9996">
            <w:pPr>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0</w:t>
            </w:r>
          </w:p>
        </w:tc>
        <w:tc>
          <w:tcPr>
            <w:tcW w:w="535" w:type="pct"/>
            <w:tcBorders>
              <w:tl2br w:val="nil"/>
              <w:tr2bl w:val="nil"/>
            </w:tcBorders>
            <w:vAlign w:val="center"/>
          </w:tcPr>
          <w:p w14:paraId="28919711">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r>
      <w:tr w14:paraId="0AFC51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tcBorders>
              <w:tl2br w:val="nil"/>
              <w:tr2bl w:val="nil"/>
            </w:tcBorders>
            <w:vAlign w:val="center"/>
          </w:tcPr>
          <w:p w14:paraId="73720647">
            <w:pPr>
              <w:pStyle w:val="42"/>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一般工业</w:t>
            </w:r>
          </w:p>
          <w:p w14:paraId="42E52B78">
            <w:pPr>
              <w:pStyle w:val="42"/>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固体废物</w:t>
            </w:r>
          </w:p>
        </w:tc>
        <w:tc>
          <w:tcPr>
            <w:tcW w:w="723" w:type="pct"/>
            <w:tcBorders>
              <w:tl2br w:val="nil"/>
              <w:tr2bl w:val="nil"/>
            </w:tcBorders>
            <w:vAlign w:val="center"/>
          </w:tcPr>
          <w:p w14:paraId="4C87B815">
            <w:pPr>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除尘灰</w:t>
            </w:r>
          </w:p>
        </w:tc>
        <w:tc>
          <w:tcPr>
            <w:tcW w:w="535" w:type="pct"/>
            <w:tcBorders>
              <w:tl2br w:val="nil"/>
              <w:tr2bl w:val="nil"/>
            </w:tcBorders>
            <w:vAlign w:val="center"/>
          </w:tcPr>
          <w:p w14:paraId="540291D7">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201D9440">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424CCC29">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7C8CAB33">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56.28</w:t>
            </w:r>
          </w:p>
        </w:tc>
        <w:tc>
          <w:tcPr>
            <w:tcW w:w="535" w:type="pct"/>
            <w:tcBorders>
              <w:tl2br w:val="nil"/>
              <w:tr2bl w:val="nil"/>
            </w:tcBorders>
            <w:vAlign w:val="center"/>
          </w:tcPr>
          <w:p w14:paraId="0AA66B53">
            <w:pPr>
              <w:jc w:val="center"/>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BA5C316">
            <w:pPr>
              <w:jc w:val="center"/>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color w:val="auto"/>
                <w:sz w:val="24"/>
                <w:szCs w:val="24"/>
                <w:lang w:val="en-US" w:eastAsia="zh-CN"/>
              </w:rPr>
              <w:t>0</w:t>
            </w:r>
          </w:p>
        </w:tc>
        <w:tc>
          <w:tcPr>
            <w:tcW w:w="535" w:type="pct"/>
            <w:tcBorders>
              <w:tl2br w:val="nil"/>
              <w:tr2bl w:val="nil"/>
            </w:tcBorders>
            <w:vAlign w:val="center"/>
          </w:tcPr>
          <w:p w14:paraId="0478976B">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w:t>
            </w:r>
          </w:p>
        </w:tc>
      </w:tr>
      <w:tr w14:paraId="37C532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restart"/>
            <w:tcBorders>
              <w:tl2br w:val="nil"/>
              <w:tr2bl w:val="nil"/>
            </w:tcBorders>
            <w:vAlign w:val="center"/>
          </w:tcPr>
          <w:p w14:paraId="4B00957A">
            <w:pPr>
              <w:pStyle w:val="42"/>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w:t>
            </w:r>
          </w:p>
        </w:tc>
        <w:tc>
          <w:tcPr>
            <w:tcW w:w="723" w:type="pct"/>
            <w:tcBorders>
              <w:tl2br w:val="nil"/>
              <w:tr2bl w:val="nil"/>
            </w:tcBorders>
            <w:vAlign w:val="center"/>
          </w:tcPr>
          <w:p w14:paraId="3C9F6D37">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废矿物油</w:t>
            </w:r>
          </w:p>
        </w:tc>
        <w:tc>
          <w:tcPr>
            <w:tcW w:w="535" w:type="pct"/>
            <w:tcBorders>
              <w:tl2br w:val="nil"/>
              <w:tr2bl w:val="nil"/>
            </w:tcBorders>
            <w:vAlign w:val="center"/>
          </w:tcPr>
          <w:p w14:paraId="20C27A97">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6ED2ACCD">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33005D2D">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026378AA">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0.1</w:t>
            </w:r>
          </w:p>
        </w:tc>
        <w:tc>
          <w:tcPr>
            <w:tcW w:w="535" w:type="pct"/>
            <w:tcBorders>
              <w:tl2br w:val="nil"/>
              <w:tr2bl w:val="nil"/>
            </w:tcBorders>
            <w:vAlign w:val="center"/>
          </w:tcPr>
          <w:p w14:paraId="792BA6A6">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63269DDA">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0</w:t>
            </w:r>
          </w:p>
        </w:tc>
        <w:tc>
          <w:tcPr>
            <w:tcW w:w="535" w:type="pct"/>
            <w:tcBorders>
              <w:tl2br w:val="nil"/>
              <w:tr2bl w:val="nil"/>
            </w:tcBorders>
            <w:vAlign w:val="center"/>
          </w:tcPr>
          <w:p w14:paraId="626AAEFE">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w:t>
            </w:r>
          </w:p>
        </w:tc>
      </w:tr>
      <w:tr w14:paraId="1B7C9A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527" w:type="pct"/>
            <w:vMerge w:val="continue"/>
            <w:tcBorders>
              <w:tl2br w:val="nil"/>
              <w:tr2bl w:val="nil"/>
            </w:tcBorders>
            <w:vAlign w:val="center"/>
          </w:tcPr>
          <w:p w14:paraId="20776BDC">
            <w:pPr>
              <w:pStyle w:val="42"/>
              <w:jc w:val="center"/>
              <w:rPr>
                <w:rFonts w:ascii="Times New Roman" w:hAnsi="Times New Roman" w:eastAsia="宋体" w:cs="Times New Roman"/>
                <w:color w:val="auto"/>
                <w:sz w:val="24"/>
                <w:szCs w:val="24"/>
              </w:rPr>
            </w:pPr>
          </w:p>
        </w:tc>
        <w:tc>
          <w:tcPr>
            <w:tcW w:w="723" w:type="pct"/>
            <w:tcBorders>
              <w:tl2br w:val="nil"/>
              <w:tr2bl w:val="nil"/>
            </w:tcBorders>
            <w:vAlign w:val="center"/>
          </w:tcPr>
          <w:p w14:paraId="5022C08D">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废油桶</w:t>
            </w:r>
          </w:p>
        </w:tc>
        <w:tc>
          <w:tcPr>
            <w:tcW w:w="535" w:type="pct"/>
            <w:tcBorders>
              <w:tl2br w:val="nil"/>
              <w:tr2bl w:val="nil"/>
            </w:tcBorders>
            <w:vAlign w:val="center"/>
          </w:tcPr>
          <w:p w14:paraId="31169B69">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65F114F3">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57282F7C">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5462E7C4">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0.1</w:t>
            </w:r>
          </w:p>
        </w:tc>
        <w:tc>
          <w:tcPr>
            <w:tcW w:w="535" w:type="pct"/>
            <w:tcBorders>
              <w:tl2br w:val="nil"/>
              <w:tr2bl w:val="nil"/>
            </w:tcBorders>
            <w:vAlign w:val="center"/>
          </w:tcPr>
          <w:p w14:paraId="356C9EE0">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c>
          <w:tcPr>
            <w:tcW w:w="535" w:type="pct"/>
            <w:tcBorders>
              <w:tl2br w:val="nil"/>
              <w:tr2bl w:val="nil"/>
            </w:tcBorders>
            <w:vAlign w:val="center"/>
          </w:tcPr>
          <w:p w14:paraId="471025E4">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0</w:t>
            </w:r>
          </w:p>
        </w:tc>
        <w:tc>
          <w:tcPr>
            <w:tcW w:w="535" w:type="pct"/>
            <w:tcBorders>
              <w:tl2br w:val="nil"/>
              <w:tr2bl w:val="nil"/>
            </w:tcBorders>
            <w:vAlign w:val="center"/>
          </w:tcPr>
          <w:p w14:paraId="2F3F9589">
            <w:pPr>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p>
        </w:tc>
      </w:tr>
    </w:tbl>
    <w:p w14:paraId="61E64144">
      <w:pPr>
        <w:pStyle w:val="29"/>
        <w:ind w:left="0" w:leftChars="0" w:firstLine="0" w:firstLineChars="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注：⑥=①+③+④-⑤；⑦=⑥-①</w:t>
      </w:r>
    </w:p>
    <w:p w14:paraId="02E325F1">
      <w:pPr>
        <w:pStyle w:val="29"/>
        <w:ind w:firstLine="220"/>
        <w:rPr>
          <w:color w:val="auto"/>
          <w:lang w:eastAsia="zh-CN"/>
        </w:rPr>
      </w:pPr>
    </w:p>
    <w:p w14:paraId="124C05AA">
      <w:pPr>
        <w:rPr>
          <w:rFonts w:ascii="Times New Roman" w:hAnsi="Times New Roman" w:eastAsia="宋体" w:cs="Times New Roman"/>
          <w:color w:val="auto"/>
        </w:rPr>
      </w:pPr>
      <w:r>
        <w:rPr>
          <w:rFonts w:ascii="Times New Roman" w:hAnsi="Times New Roman" w:eastAsia="宋体" w:cs="Times New Roman"/>
          <w:color w:val="auto"/>
        </w:rPr>
        <w:br w:type="page"/>
      </w:r>
    </w:p>
    <w:p w14:paraId="427B1E57">
      <w:pPr>
        <w:pStyle w:val="16"/>
        <w:spacing w:before="0" w:line="360" w:lineRule="auto"/>
        <w:ind w:left="0"/>
        <w:jc w:val="center"/>
        <w:outlineLvl w:val="9"/>
        <w:rPr>
          <w:rFonts w:ascii="Times New Roman" w:hAnsi="Times New Roman" w:eastAsia="宋体" w:cs="Times New Roman"/>
          <w:color w:val="auto"/>
        </w:rPr>
        <w:sectPr>
          <w:footerReference r:id="rId12" w:type="default"/>
          <w:footerReference r:id="rId13" w:type="even"/>
          <w:pgSz w:w="16840" w:h="11910" w:orient="landscape"/>
          <w:pgMar w:top="1400" w:right="1580" w:bottom="1400" w:left="1240" w:header="0" w:footer="1043" w:gutter="0"/>
          <w:pgBorders>
            <w:top w:val="none" w:sz="0" w:space="0"/>
            <w:left w:val="none" w:sz="0" w:space="0"/>
            <w:bottom w:val="none" w:sz="0" w:space="0"/>
            <w:right w:val="none" w:sz="0" w:space="0"/>
          </w:pgBorders>
          <w:cols w:space="720" w:num="1"/>
        </w:sectPr>
      </w:pPr>
    </w:p>
    <w:p w14:paraId="2BBF10C6">
      <w:pPr>
        <w:pStyle w:val="16"/>
        <w:spacing w:before="0" w:line="360" w:lineRule="auto"/>
        <w:ind w:left="0"/>
        <w:jc w:val="center"/>
        <w:outlineLvl w:val="0"/>
        <w:rPr>
          <w:rFonts w:hint="eastAsia" w:ascii="Times New Roman" w:hAnsi="Times New Roman" w:eastAsia="宋体" w:cs="Times New Roman"/>
          <w:b/>
          <w:bCs/>
          <w:color w:val="auto"/>
          <w:lang w:val="en-US" w:eastAsia="zh-CN"/>
        </w:rPr>
      </w:pPr>
      <w:bookmarkStart w:id="38" w:name="_Toc25179"/>
      <w:r>
        <w:rPr>
          <w:rFonts w:hint="eastAsia" w:ascii="Times New Roman" w:hAnsi="Times New Roman" w:eastAsia="宋体" w:cs="Times New Roman"/>
          <w:b/>
          <w:bCs/>
          <w:color w:val="auto"/>
          <w:lang w:val="en-US" w:eastAsia="zh-CN"/>
        </w:rPr>
        <w:t>附  录</w:t>
      </w:r>
      <w:bookmarkEnd w:id="38"/>
    </w:p>
    <w:p w14:paraId="193CAFD1">
      <w:pPr>
        <w:spacing w:line="360" w:lineRule="auto"/>
        <w:ind w:firstLine="480" w:firstLineChars="200"/>
        <w:jc w:val="both"/>
        <w:rPr>
          <w:rFonts w:hint="eastAsia" w:ascii="Times New Roman" w:hAnsi="Times New Roman" w:cs="Times New Roman"/>
          <w:b/>
          <w:bCs w:val="0"/>
          <w:color w:val="auto"/>
          <w:sz w:val="24"/>
          <w:lang w:val="en-US" w:eastAsia="zh-CN"/>
        </w:rPr>
      </w:pPr>
    </w:p>
    <w:p w14:paraId="4AB977FE">
      <w:pPr>
        <w:spacing w:line="360" w:lineRule="auto"/>
        <w:ind w:firstLine="480" w:firstLineChars="200"/>
        <w:jc w:val="both"/>
        <w:rPr>
          <w:rFonts w:hint="eastAsia" w:ascii="Times New Roman" w:hAnsi="Times New Roman" w:cs="Times New Roman"/>
          <w:b/>
          <w:bCs w:val="0"/>
          <w:color w:val="auto"/>
          <w:sz w:val="24"/>
          <w:lang w:val="en-US" w:eastAsia="zh-CN"/>
        </w:rPr>
      </w:pPr>
      <w:r>
        <w:rPr>
          <w:rFonts w:hint="eastAsia" w:ascii="Times New Roman" w:hAnsi="Times New Roman" w:cs="Times New Roman"/>
          <w:b/>
          <w:bCs w:val="0"/>
          <w:color w:val="auto"/>
          <w:sz w:val="24"/>
          <w:lang w:val="en-US" w:eastAsia="zh-CN"/>
        </w:rPr>
        <w:t xml:space="preserve">1.附图 </w:t>
      </w:r>
    </w:p>
    <w:p w14:paraId="73898B27">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附图1  项目地理位置图</w:t>
      </w:r>
    </w:p>
    <w:p w14:paraId="2EE4FE27">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附图2  项目总平面布置图</w:t>
      </w:r>
    </w:p>
    <w:p w14:paraId="62589EA0">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附图3  环境保护目标图</w:t>
      </w:r>
    </w:p>
    <w:p w14:paraId="46982E99">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附图4  四邻关系图</w:t>
      </w:r>
    </w:p>
    <w:p w14:paraId="7AEF9030">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附图5  河流水系图</w:t>
      </w:r>
    </w:p>
    <w:p w14:paraId="7DC4F198">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附图6  项目与长治市潞城区水源地位置关系图</w:t>
      </w:r>
    </w:p>
    <w:p w14:paraId="218DBD75">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附图7  项目与潞城区国土空间总体规划位置关系图</w:t>
      </w:r>
    </w:p>
    <w:p w14:paraId="4CB97630">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附图8  项目与辛安泉域位置关系图</w:t>
      </w:r>
    </w:p>
    <w:p w14:paraId="5AD8EEB1">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附图9  项目与潞城区辛安泉域位置关系图</w:t>
      </w:r>
    </w:p>
    <w:p w14:paraId="068167A2">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附图10  项目与长治市三线一单管控分区位置关系图</w:t>
      </w:r>
    </w:p>
    <w:p w14:paraId="71C0689B">
      <w:pPr>
        <w:spacing w:line="360" w:lineRule="auto"/>
        <w:ind w:firstLine="480" w:firstLineChars="200"/>
        <w:jc w:val="both"/>
        <w:rPr>
          <w:rFonts w:hint="eastAsia" w:ascii="Times New Roman" w:hAnsi="Times New Roman" w:cs="Times New Roman"/>
          <w:b/>
          <w:bCs w:val="0"/>
          <w:color w:val="auto"/>
          <w:sz w:val="24"/>
          <w:lang w:val="en-US" w:eastAsia="zh-CN"/>
        </w:rPr>
      </w:pPr>
    </w:p>
    <w:p w14:paraId="46352368">
      <w:pPr>
        <w:spacing w:line="360" w:lineRule="auto"/>
        <w:ind w:firstLine="480" w:firstLineChars="200"/>
        <w:jc w:val="both"/>
        <w:rPr>
          <w:rFonts w:hint="eastAsia" w:ascii="Times New Roman" w:hAnsi="Times New Roman" w:cs="Times New Roman"/>
          <w:b/>
          <w:bCs w:val="0"/>
          <w:color w:val="auto"/>
          <w:sz w:val="24"/>
          <w:lang w:val="en-US" w:eastAsia="zh-CN"/>
        </w:rPr>
      </w:pPr>
      <w:r>
        <w:rPr>
          <w:rFonts w:hint="eastAsia" w:ascii="Times New Roman" w:hAnsi="Times New Roman" w:cs="Times New Roman"/>
          <w:b/>
          <w:bCs w:val="0"/>
          <w:color w:val="auto"/>
          <w:sz w:val="24"/>
          <w:lang w:val="en-US" w:eastAsia="zh-CN"/>
        </w:rPr>
        <w:t xml:space="preserve">2.附件 </w:t>
      </w:r>
    </w:p>
    <w:p w14:paraId="58E167C0">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附件1  委托书</w:t>
      </w:r>
    </w:p>
    <w:p w14:paraId="0518B068">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附件2  备案文件</w:t>
      </w:r>
    </w:p>
    <w:p w14:paraId="0533BA8F">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附件3  用地租赁协议</w:t>
      </w:r>
    </w:p>
    <w:p w14:paraId="485326E5">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附件4  勘界报告</w:t>
      </w:r>
    </w:p>
    <w:p w14:paraId="3C736240">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附件5  原环评批复</w:t>
      </w:r>
    </w:p>
    <w:p w14:paraId="3DDD51EA">
      <w:pPr>
        <w:spacing w:line="360" w:lineRule="auto"/>
        <w:ind w:firstLine="480" w:firstLineChars="200"/>
        <w:jc w:val="both"/>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附件6  原总量批复</w:t>
      </w:r>
    </w:p>
    <w:p w14:paraId="08600AF8">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附件7  原验收意见</w:t>
      </w:r>
    </w:p>
    <w:p w14:paraId="021CC986">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附件8  排污许可证</w:t>
      </w:r>
    </w:p>
    <w:p w14:paraId="4D570377">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附件9  自行监测报告</w:t>
      </w:r>
    </w:p>
    <w:p w14:paraId="0D0AFB50">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附件10  补充监测报告</w:t>
      </w:r>
    </w:p>
    <w:p w14:paraId="008F079D">
      <w:pPr>
        <w:spacing w:line="360" w:lineRule="auto"/>
        <w:ind w:firstLine="480" w:firstLineChars="200"/>
        <w:jc w:val="both"/>
        <w:rPr>
          <w:rFonts w:hint="eastAsia"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附件11  评审意见</w:t>
      </w:r>
    </w:p>
    <w:p w14:paraId="6C312697">
      <w:pPr>
        <w:spacing w:line="360" w:lineRule="auto"/>
        <w:ind w:firstLine="480" w:firstLineChars="200"/>
        <w:jc w:val="both"/>
        <w:rPr>
          <w:rFonts w:hint="eastAsia" w:ascii="Times New Roman" w:hAnsi="Times New Roman" w:cs="Times New Roman"/>
          <w:bCs/>
          <w:color w:val="auto"/>
          <w:sz w:val="24"/>
          <w:lang w:val="en-US" w:eastAsia="zh-CN"/>
        </w:rPr>
      </w:pPr>
    </w:p>
    <w:p w14:paraId="64291303">
      <w:pPr>
        <w:spacing w:line="360" w:lineRule="auto"/>
        <w:ind w:firstLine="480" w:firstLineChars="200"/>
        <w:jc w:val="both"/>
        <w:rPr>
          <w:rFonts w:hint="eastAsia" w:ascii="Times New Roman" w:hAnsi="Times New Roman" w:cs="Times New Roman"/>
          <w:bCs/>
          <w:color w:val="auto"/>
          <w:sz w:val="24"/>
          <w:lang w:val="en-US" w:eastAsia="zh-CN"/>
        </w:rPr>
      </w:pPr>
    </w:p>
    <w:p w14:paraId="4845C4BD">
      <w:pPr>
        <w:spacing w:line="360" w:lineRule="auto"/>
        <w:jc w:val="both"/>
        <w:rPr>
          <w:rFonts w:hint="eastAsia" w:ascii="Times New Roman" w:hAnsi="Times New Roman" w:cs="Times New Roman"/>
          <w:bCs/>
          <w:color w:val="auto"/>
          <w:sz w:val="24"/>
          <w:lang w:val="en-US" w:eastAsia="zh-CN"/>
        </w:rPr>
      </w:pPr>
    </w:p>
    <w:p w14:paraId="6A5BE215">
      <w:pPr>
        <w:pStyle w:val="16"/>
        <w:keepNext w:val="0"/>
        <w:keepLines w:val="0"/>
        <w:pageBreakBefore w:val="0"/>
        <w:widowControl w:val="0"/>
        <w:kinsoku/>
        <w:wordWrap/>
        <w:overflowPunct/>
        <w:topLinePunct w:val="0"/>
        <w:autoSpaceDE/>
        <w:autoSpaceDN/>
        <w:bidi w:val="0"/>
        <w:adjustRightInd/>
        <w:snapToGrid/>
        <w:spacing w:before="0" w:line="360" w:lineRule="auto"/>
        <w:ind w:left="0"/>
        <w:jc w:val="center"/>
        <w:textAlignment w:val="auto"/>
        <w:outlineLvl w:val="9"/>
        <w:rPr>
          <w:rFonts w:hint="eastAsia" w:ascii="Times New Roman" w:hAnsi="Times New Roman" w:eastAsia="宋体" w:cs="Times New Roman"/>
          <w:color w:val="auto"/>
          <w:lang w:val="en-US" w:eastAsia="zh-CN"/>
        </w:rPr>
      </w:pPr>
    </w:p>
    <w:p w14:paraId="0FACC206">
      <w:pPr>
        <w:pStyle w:val="16"/>
        <w:keepNext w:val="0"/>
        <w:keepLines w:val="0"/>
        <w:pageBreakBefore w:val="0"/>
        <w:widowControl w:val="0"/>
        <w:kinsoku/>
        <w:wordWrap/>
        <w:overflowPunct/>
        <w:topLinePunct w:val="0"/>
        <w:autoSpaceDE/>
        <w:autoSpaceDN/>
        <w:bidi w:val="0"/>
        <w:adjustRightInd/>
        <w:snapToGrid/>
        <w:spacing w:before="0" w:line="360" w:lineRule="auto"/>
        <w:ind w:left="0"/>
        <w:jc w:val="center"/>
        <w:textAlignment w:val="auto"/>
        <w:outlineLvl w:val="9"/>
        <w:rPr>
          <w:rFonts w:hint="eastAsia" w:ascii="Times New Roman" w:hAnsi="Times New Roman" w:eastAsia="宋体" w:cs="Times New Roman"/>
          <w:color w:val="auto"/>
          <w:lang w:val="en-US" w:eastAsia="zh-CN"/>
        </w:rPr>
        <w:sectPr>
          <w:pgSz w:w="11910" w:h="16840"/>
          <w:pgMar w:top="1580" w:right="1400" w:bottom="1240" w:left="1400" w:header="0" w:footer="1043" w:gutter="0"/>
          <w:pgBorders>
            <w:top w:val="none" w:sz="0" w:space="0"/>
            <w:left w:val="none" w:sz="0" w:space="0"/>
            <w:bottom w:val="none" w:sz="0" w:space="0"/>
            <w:right w:val="none" w:sz="0" w:space="0"/>
          </w:pgBorders>
          <w:cols w:space="720" w:num="1"/>
        </w:sectPr>
      </w:pPr>
    </w:p>
    <w:p w14:paraId="1B24AEDE">
      <w:pPr>
        <w:rPr>
          <w:color w:val="auto"/>
          <w:lang w:eastAsia="zh-CN"/>
        </w:rPr>
      </w:pPr>
      <w:r>
        <w:rPr>
          <w:color w:val="auto"/>
          <w:lang w:eastAsia="zh-CN"/>
        </w:rPr>
        <w:drawing>
          <wp:inline distT="0" distB="0" distL="114300" distR="114300">
            <wp:extent cx="7197090" cy="5086350"/>
            <wp:effectExtent l="0" t="0" r="3810" b="0"/>
            <wp:docPr id="32" name="图片 32" descr="2.附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附图_00"/>
                    <pic:cNvPicPr>
                      <a:picLocks noChangeAspect="1"/>
                    </pic:cNvPicPr>
                  </pic:nvPicPr>
                  <pic:blipFill>
                    <a:blip r:embed="rId50"/>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31" name="图片 31" descr="2.附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附图_01"/>
                    <pic:cNvPicPr>
                      <a:picLocks noChangeAspect="1"/>
                    </pic:cNvPicPr>
                  </pic:nvPicPr>
                  <pic:blipFill>
                    <a:blip r:embed="rId51"/>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30" name="图片 30" descr="2.附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附图_02"/>
                    <pic:cNvPicPr>
                      <a:picLocks noChangeAspect="1"/>
                    </pic:cNvPicPr>
                  </pic:nvPicPr>
                  <pic:blipFill>
                    <a:blip r:embed="rId52"/>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29" name="图片 29" descr="2.附图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附图_03"/>
                    <pic:cNvPicPr>
                      <a:picLocks noChangeAspect="1"/>
                    </pic:cNvPicPr>
                  </pic:nvPicPr>
                  <pic:blipFill>
                    <a:blip r:embed="rId53"/>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28" name="图片 28" descr="2.附图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附图_04"/>
                    <pic:cNvPicPr>
                      <a:picLocks noChangeAspect="1"/>
                    </pic:cNvPicPr>
                  </pic:nvPicPr>
                  <pic:blipFill>
                    <a:blip r:embed="rId54"/>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27" name="图片 27" descr="2.附图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附图_05"/>
                    <pic:cNvPicPr>
                      <a:picLocks noChangeAspect="1"/>
                    </pic:cNvPicPr>
                  </pic:nvPicPr>
                  <pic:blipFill>
                    <a:blip r:embed="rId55"/>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26" name="图片 26" descr="2.附图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附图_06"/>
                    <pic:cNvPicPr>
                      <a:picLocks noChangeAspect="1"/>
                    </pic:cNvPicPr>
                  </pic:nvPicPr>
                  <pic:blipFill>
                    <a:blip r:embed="rId56"/>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6953250" cy="9838690"/>
            <wp:effectExtent l="0" t="0" r="0" b="10160"/>
            <wp:docPr id="23" name="图片 23" descr="2.附图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附图_07"/>
                    <pic:cNvPicPr>
                      <a:picLocks noChangeAspect="1"/>
                    </pic:cNvPicPr>
                  </pic:nvPicPr>
                  <pic:blipFill>
                    <a:blip r:embed="rId57"/>
                    <a:stretch>
                      <a:fillRect/>
                    </a:stretch>
                  </pic:blipFill>
                  <pic:spPr>
                    <a:xfrm>
                      <a:off x="0" y="0"/>
                      <a:ext cx="6953250" cy="9838690"/>
                    </a:xfrm>
                    <a:prstGeom prst="rect">
                      <a:avLst/>
                    </a:prstGeom>
                  </pic:spPr>
                </pic:pic>
              </a:graphicData>
            </a:graphic>
          </wp:inline>
        </w:drawing>
      </w:r>
      <w:r>
        <w:rPr>
          <w:color w:val="auto"/>
          <w:lang w:eastAsia="zh-CN"/>
        </w:rPr>
        <w:drawing>
          <wp:inline distT="0" distB="0" distL="114300" distR="114300">
            <wp:extent cx="7197090" cy="5086350"/>
            <wp:effectExtent l="0" t="0" r="3810" b="0"/>
            <wp:docPr id="22" name="图片 22" descr="2.附图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附图_08"/>
                    <pic:cNvPicPr>
                      <a:picLocks noChangeAspect="1"/>
                    </pic:cNvPicPr>
                  </pic:nvPicPr>
                  <pic:blipFill>
                    <a:blip r:embed="rId58"/>
                    <a:stretch>
                      <a:fillRect/>
                    </a:stretch>
                  </pic:blipFill>
                  <pic:spPr>
                    <a:xfrm>
                      <a:off x="0" y="0"/>
                      <a:ext cx="7197090" cy="5086350"/>
                    </a:xfrm>
                    <a:prstGeom prst="rect">
                      <a:avLst/>
                    </a:prstGeom>
                  </pic:spPr>
                </pic:pic>
              </a:graphicData>
            </a:graphic>
          </wp:inline>
        </w:drawing>
      </w:r>
      <w:r>
        <w:rPr>
          <w:color w:val="auto"/>
          <w:lang w:eastAsia="zh-CN"/>
        </w:rPr>
        <w:drawing>
          <wp:inline distT="0" distB="0" distL="114300" distR="114300">
            <wp:extent cx="7197090" cy="5086350"/>
            <wp:effectExtent l="0" t="0" r="3810" b="0"/>
            <wp:docPr id="21" name="图片 21" descr="2.附图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附图_09"/>
                    <pic:cNvPicPr>
                      <a:picLocks noChangeAspect="1"/>
                    </pic:cNvPicPr>
                  </pic:nvPicPr>
                  <pic:blipFill>
                    <a:blip r:embed="rId59"/>
                    <a:stretch>
                      <a:fillRect/>
                    </a:stretch>
                  </pic:blipFill>
                  <pic:spPr>
                    <a:xfrm>
                      <a:off x="0" y="0"/>
                      <a:ext cx="7197090" cy="5086350"/>
                    </a:xfrm>
                    <a:prstGeom prst="rect">
                      <a:avLst/>
                    </a:prstGeom>
                  </pic:spPr>
                </pic:pic>
              </a:graphicData>
            </a:graphic>
          </wp:inline>
        </w:drawing>
      </w:r>
    </w:p>
    <w:p w14:paraId="0B5364AC">
      <w:pPr>
        <w:rPr>
          <w:color w:val="auto"/>
          <w:lang w:eastAsia="zh-CN"/>
        </w:rPr>
      </w:pPr>
      <w:r>
        <w:rPr>
          <w:color w:val="auto"/>
          <w:lang w:eastAsia="zh-CN"/>
        </w:rPr>
        <w:br w:type="page"/>
      </w:r>
    </w:p>
    <w:p w14:paraId="5167D665">
      <w:pPr>
        <w:pStyle w:val="2"/>
        <w:rPr>
          <w:lang w:eastAsia="zh-CN"/>
        </w:rPr>
      </w:pPr>
      <w:r>
        <w:rPr>
          <w:lang w:eastAsia="zh-CN"/>
        </w:rPr>
        <w:drawing>
          <wp:inline distT="0" distB="0" distL="114300" distR="114300">
            <wp:extent cx="6957060" cy="9838690"/>
            <wp:effectExtent l="0" t="0" r="15240" b="10160"/>
            <wp:docPr id="132" name="图片 132" descr="3.附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3.附件_00"/>
                    <pic:cNvPicPr>
                      <a:picLocks noChangeAspect="1"/>
                    </pic:cNvPicPr>
                  </pic:nvPicPr>
                  <pic:blipFill>
                    <a:blip r:embed="rId60"/>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31" name="图片 131" descr="3.附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3.附件_01"/>
                    <pic:cNvPicPr>
                      <a:picLocks noChangeAspect="1"/>
                    </pic:cNvPicPr>
                  </pic:nvPicPr>
                  <pic:blipFill>
                    <a:blip r:embed="rId61"/>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30" name="图片 130" descr="3.附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3.附件_02"/>
                    <pic:cNvPicPr>
                      <a:picLocks noChangeAspect="1"/>
                    </pic:cNvPicPr>
                  </pic:nvPicPr>
                  <pic:blipFill>
                    <a:blip r:embed="rId62"/>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9" name="图片 129" descr="3.附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3.附件_03"/>
                    <pic:cNvPicPr>
                      <a:picLocks noChangeAspect="1"/>
                    </pic:cNvPicPr>
                  </pic:nvPicPr>
                  <pic:blipFill>
                    <a:blip r:embed="rId63"/>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8" name="图片 128" descr="3.附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3.附件_04"/>
                    <pic:cNvPicPr>
                      <a:picLocks noChangeAspect="1"/>
                    </pic:cNvPicPr>
                  </pic:nvPicPr>
                  <pic:blipFill>
                    <a:blip r:embed="rId64"/>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7" name="图片 127" descr="3.附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3.附件_05"/>
                    <pic:cNvPicPr>
                      <a:picLocks noChangeAspect="1"/>
                    </pic:cNvPicPr>
                  </pic:nvPicPr>
                  <pic:blipFill>
                    <a:blip r:embed="rId65"/>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6" name="图片 126" descr="3.附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3.附件_06"/>
                    <pic:cNvPicPr>
                      <a:picLocks noChangeAspect="1"/>
                    </pic:cNvPicPr>
                  </pic:nvPicPr>
                  <pic:blipFill>
                    <a:blip r:embed="rId66"/>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5" name="图片 125" descr="3.附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附件_07"/>
                    <pic:cNvPicPr>
                      <a:picLocks noChangeAspect="1"/>
                    </pic:cNvPicPr>
                  </pic:nvPicPr>
                  <pic:blipFill>
                    <a:blip r:embed="rId67"/>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4" name="图片 124" descr="3.附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3.附件_08"/>
                    <pic:cNvPicPr>
                      <a:picLocks noChangeAspect="1"/>
                    </pic:cNvPicPr>
                  </pic:nvPicPr>
                  <pic:blipFill>
                    <a:blip r:embed="rId68"/>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3" name="图片 123" descr="3.附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3.附件_09"/>
                    <pic:cNvPicPr>
                      <a:picLocks noChangeAspect="1"/>
                    </pic:cNvPicPr>
                  </pic:nvPicPr>
                  <pic:blipFill>
                    <a:blip r:embed="rId69"/>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2" name="图片 122" descr="3.附件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3.附件_10"/>
                    <pic:cNvPicPr>
                      <a:picLocks noChangeAspect="1"/>
                    </pic:cNvPicPr>
                  </pic:nvPicPr>
                  <pic:blipFill>
                    <a:blip r:embed="rId70"/>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1" name="图片 121" descr="3.附件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3.附件_11"/>
                    <pic:cNvPicPr>
                      <a:picLocks noChangeAspect="1"/>
                    </pic:cNvPicPr>
                  </pic:nvPicPr>
                  <pic:blipFill>
                    <a:blip r:embed="rId71"/>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20" name="图片 120" descr="3.附件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3.附件_12"/>
                    <pic:cNvPicPr>
                      <a:picLocks noChangeAspect="1"/>
                    </pic:cNvPicPr>
                  </pic:nvPicPr>
                  <pic:blipFill>
                    <a:blip r:embed="rId72"/>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9" name="图片 119" descr="3.附件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3.附件_13"/>
                    <pic:cNvPicPr>
                      <a:picLocks noChangeAspect="1"/>
                    </pic:cNvPicPr>
                  </pic:nvPicPr>
                  <pic:blipFill>
                    <a:blip r:embed="rId73"/>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8" name="图片 118" descr="3.附件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3.附件_14"/>
                    <pic:cNvPicPr>
                      <a:picLocks noChangeAspect="1"/>
                    </pic:cNvPicPr>
                  </pic:nvPicPr>
                  <pic:blipFill>
                    <a:blip r:embed="rId74"/>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7" name="图片 117" descr="3.附件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3.附件_15"/>
                    <pic:cNvPicPr>
                      <a:picLocks noChangeAspect="1"/>
                    </pic:cNvPicPr>
                  </pic:nvPicPr>
                  <pic:blipFill>
                    <a:blip r:embed="rId75"/>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6" name="图片 116" descr="3.附件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3.附件_16"/>
                    <pic:cNvPicPr>
                      <a:picLocks noChangeAspect="1"/>
                    </pic:cNvPicPr>
                  </pic:nvPicPr>
                  <pic:blipFill>
                    <a:blip r:embed="rId76"/>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5" name="图片 115" descr="3.附件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3.附件_17"/>
                    <pic:cNvPicPr>
                      <a:picLocks noChangeAspect="1"/>
                    </pic:cNvPicPr>
                  </pic:nvPicPr>
                  <pic:blipFill>
                    <a:blip r:embed="rId77"/>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4" name="图片 114" descr="3.附件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3.附件_18"/>
                    <pic:cNvPicPr>
                      <a:picLocks noChangeAspect="1"/>
                    </pic:cNvPicPr>
                  </pic:nvPicPr>
                  <pic:blipFill>
                    <a:blip r:embed="rId78"/>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3" name="图片 113" descr="3.附件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3.附件_19"/>
                    <pic:cNvPicPr>
                      <a:picLocks noChangeAspect="1"/>
                    </pic:cNvPicPr>
                  </pic:nvPicPr>
                  <pic:blipFill>
                    <a:blip r:embed="rId79"/>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2" name="图片 112" descr="3.附件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3.附件_20"/>
                    <pic:cNvPicPr>
                      <a:picLocks noChangeAspect="1"/>
                    </pic:cNvPicPr>
                  </pic:nvPicPr>
                  <pic:blipFill>
                    <a:blip r:embed="rId80"/>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1" name="图片 111" descr="3.附件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3.附件_21"/>
                    <pic:cNvPicPr>
                      <a:picLocks noChangeAspect="1"/>
                    </pic:cNvPicPr>
                  </pic:nvPicPr>
                  <pic:blipFill>
                    <a:blip r:embed="rId81"/>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10" name="图片 110" descr="3.附件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3.附件_22"/>
                    <pic:cNvPicPr>
                      <a:picLocks noChangeAspect="1"/>
                    </pic:cNvPicPr>
                  </pic:nvPicPr>
                  <pic:blipFill>
                    <a:blip r:embed="rId82"/>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9" name="图片 109" descr="3.附件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3.附件_23"/>
                    <pic:cNvPicPr>
                      <a:picLocks noChangeAspect="1"/>
                    </pic:cNvPicPr>
                  </pic:nvPicPr>
                  <pic:blipFill>
                    <a:blip r:embed="rId83"/>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8" name="图片 108" descr="3.附件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3.附件_24"/>
                    <pic:cNvPicPr>
                      <a:picLocks noChangeAspect="1"/>
                    </pic:cNvPicPr>
                  </pic:nvPicPr>
                  <pic:blipFill>
                    <a:blip r:embed="rId84"/>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7" name="图片 107" descr="3.附件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3.附件_25"/>
                    <pic:cNvPicPr>
                      <a:picLocks noChangeAspect="1"/>
                    </pic:cNvPicPr>
                  </pic:nvPicPr>
                  <pic:blipFill>
                    <a:blip r:embed="rId85"/>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6" name="图片 106" descr="3.附件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附件_26"/>
                    <pic:cNvPicPr>
                      <a:picLocks noChangeAspect="1"/>
                    </pic:cNvPicPr>
                  </pic:nvPicPr>
                  <pic:blipFill>
                    <a:blip r:embed="rId86"/>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5" name="图片 105" descr="3.附件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附件_27"/>
                    <pic:cNvPicPr>
                      <a:picLocks noChangeAspect="1"/>
                    </pic:cNvPicPr>
                  </pic:nvPicPr>
                  <pic:blipFill>
                    <a:blip r:embed="rId87"/>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4" name="图片 104" descr="3.附件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3.附件_28"/>
                    <pic:cNvPicPr>
                      <a:picLocks noChangeAspect="1"/>
                    </pic:cNvPicPr>
                  </pic:nvPicPr>
                  <pic:blipFill>
                    <a:blip r:embed="rId88"/>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3" name="图片 103" descr="3.附件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附件_29"/>
                    <pic:cNvPicPr>
                      <a:picLocks noChangeAspect="1"/>
                    </pic:cNvPicPr>
                  </pic:nvPicPr>
                  <pic:blipFill>
                    <a:blip r:embed="rId89"/>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2" name="图片 102" descr="3.附件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3.附件_30"/>
                    <pic:cNvPicPr>
                      <a:picLocks noChangeAspect="1"/>
                    </pic:cNvPicPr>
                  </pic:nvPicPr>
                  <pic:blipFill>
                    <a:blip r:embed="rId90"/>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1" name="图片 101" descr="3.附件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3.附件_31"/>
                    <pic:cNvPicPr>
                      <a:picLocks noChangeAspect="1"/>
                    </pic:cNvPicPr>
                  </pic:nvPicPr>
                  <pic:blipFill>
                    <a:blip r:embed="rId91"/>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100" name="图片 100" descr="3.附件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3.附件_32"/>
                    <pic:cNvPicPr>
                      <a:picLocks noChangeAspect="1"/>
                    </pic:cNvPicPr>
                  </pic:nvPicPr>
                  <pic:blipFill>
                    <a:blip r:embed="rId92"/>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9" name="图片 99" descr="3.附件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3.附件_33"/>
                    <pic:cNvPicPr>
                      <a:picLocks noChangeAspect="1"/>
                    </pic:cNvPicPr>
                  </pic:nvPicPr>
                  <pic:blipFill>
                    <a:blip r:embed="rId93"/>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8" name="图片 98" descr="3.附件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3.附件_34"/>
                    <pic:cNvPicPr>
                      <a:picLocks noChangeAspect="1"/>
                    </pic:cNvPicPr>
                  </pic:nvPicPr>
                  <pic:blipFill>
                    <a:blip r:embed="rId94"/>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7" name="图片 97" descr="3.附件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3.附件_35"/>
                    <pic:cNvPicPr>
                      <a:picLocks noChangeAspect="1"/>
                    </pic:cNvPicPr>
                  </pic:nvPicPr>
                  <pic:blipFill>
                    <a:blip r:embed="rId95"/>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6" name="图片 96" descr="3.附件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附件_36"/>
                    <pic:cNvPicPr>
                      <a:picLocks noChangeAspect="1"/>
                    </pic:cNvPicPr>
                  </pic:nvPicPr>
                  <pic:blipFill>
                    <a:blip r:embed="rId96"/>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5" name="图片 95" descr="3.附件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附件_37"/>
                    <pic:cNvPicPr>
                      <a:picLocks noChangeAspect="1"/>
                    </pic:cNvPicPr>
                  </pic:nvPicPr>
                  <pic:blipFill>
                    <a:blip r:embed="rId97"/>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4" name="图片 94" descr="3.附件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3.附件_38"/>
                    <pic:cNvPicPr>
                      <a:picLocks noChangeAspect="1"/>
                    </pic:cNvPicPr>
                  </pic:nvPicPr>
                  <pic:blipFill>
                    <a:blip r:embed="rId98"/>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3" name="图片 93" descr="3.附件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3.附件_39"/>
                    <pic:cNvPicPr>
                      <a:picLocks noChangeAspect="1"/>
                    </pic:cNvPicPr>
                  </pic:nvPicPr>
                  <pic:blipFill>
                    <a:blip r:embed="rId99"/>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2" name="图片 92" descr="3.附件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3.附件_40"/>
                    <pic:cNvPicPr>
                      <a:picLocks noChangeAspect="1"/>
                    </pic:cNvPicPr>
                  </pic:nvPicPr>
                  <pic:blipFill>
                    <a:blip r:embed="rId100"/>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1" name="图片 91" descr="3.附件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附件_41"/>
                    <pic:cNvPicPr>
                      <a:picLocks noChangeAspect="1"/>
                    </pic:cNvPicPr>
                  </pic:nvPicPr>
                  <pic:blipFill>
                    <a:blip r:embed="rId101"/>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90" name="图片 90" descr="3.附件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3.附件_42"/>
                    <pic:cNvPicPr>
                      <a:picLocks noChangeAspect="1"/>
                    </pic:cNvPicPr>
                  </pic:nvPicPr>
                  <pic:blipFill>
                    <a:blip r:embed="rId102"/>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9" name="图片 89" descr="3.附件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3.附件_43"/>
                    <pic:cNvPicPr>
                      <a:picLocks noChangeAspect="1"/>
                    </pic:cNvPicPr>
                  </pic:nvPicPr>
                  <pic:blipFill>
                    <a:blip r:embed="rId103"/>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8" name="图片 88" descr="3.附件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附件_44"/>
                    <pic:cNvPicPr>
                      <a:picLocks noChangeAspect="1"/>
                    </pic:cNvPicPr>
                  </pic:nvPicPr>
                  <pic:blipFill>
                    <a:blip r:embed="rId104"/>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7" name="图片 87" descr="3.附件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附件_45"/>
                    <pic:cNvPicPr>
                      <a:picLocks noChangeAspect="1"/>
                    </pic:cNvPicPr>
                  </pic:nvPicPr>
                  <pic:blipFill>
                    <a:blip r:embed="rId105"/>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6" name="图片 86" descr="3.附件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附件_46"/>
                    <pic:cNvPicPr>
                      <a:picLocks noChangeAspect="1"/>
                    </pic:cNvPicPr>
                  </pic:nvPicPr>
                  <pic:blipFill>
                    <a:blip r:embed="rId106"/>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5" name="图片 85" descr="3.附件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附件_47"/>
                    <pic:cNvPicPr>
                      <a:picLocks noChangeAspect="1"/>
                    </pic:cNvPicPr>
                  </pic:nvPicPr>
                  <pic:blipFill>
                    <a:blip r:embed="rId107"/>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4" name="图片 84" descr="3.附件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3.附件_48"/>
                    <pic:cNvPicPr>
                      <a:picLocks noChangeAspect="1"/>
                    </pic:cNvPicPr>
                  </pic:nvPicPr>
                  <pic:blipFill>
                    <a:blip r:embed="rId108"/>
                    <a:stretch>
                      <a:fillRect/>
                    </a:stretch>
                  </pic:blipFill>
                  <pic:spPr>
                    <a:xfrm>
                      <a:off x="0" y="0"/>
                      <a:ext cx="6957060" cy="9838690"/>
                    </a:xfrm>
                    <a:prstGeom prst="rect">
                      <a:avLst/>
                    </a:prstGeom>
                  </pic:spPr>
                </pic:pic>
              </a:graphicData>
            </a:graphic>
          </wp:inline>
        </w:drawing>
      </w:r>
      <w:r>
        <w:rPr>
          <w:lang w:eastAsia="zh-CN"/>
        </w:rPr>
        <w:drawing>
          <wp:inline distT="0" distB="0" distL="114300" distR="114300">
            <wp:extent cx="6957060" cy="9838690"/>
            <wp:effectExtent l="0" t="0" r="15240" b="10160"/>
            <wp:docPr id="83" name="图片 83" descr="3.附件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附件_49"/>
                    <pic:cNvPicPr>
                      <a:picLocks noChangeAspect="1"/>
                    </pic:cNvPicPr>
                  </pic:nvPicPr>
                  <pic:blipFill>
                    <a:blip r:embed="rId109"/>
                    <a:stretch>
                      <a:fillRect/>
                    </a:stretch>
                  </pic:blipFill>
                  <pic:spPr>
                    <a:xfrm>
                      <a:off x="0" y="0"/>
                      <a:ext cx="6957060" cy="9838690"/>
                    </a:xfrm>
                    <a:prstGeom prst="rect">
                      <a:avLst/>
                    </a:prstGeom>
                  </pic:spPr>
                </pic:pic>
              </a:graphicData>
            </a:graphic>
          </wp:inline>
        </w:drawing>
      </w:r>
    </w:p>
    <w:sectPr>
      <w:footerReference r:id="rId14" w:type="default"/>
      <w:footerReference r:id="rId15" w:type="even"/>
      <w:pgSz w:w="11910" w:h="16840"/>
      <w:pgMar w:top="283" w:right="283" w:bottom="283" w:left="283" w:header="0" w:footer="1043" w:gutter="0"/>
      <w:pgBorders>
        <w:top w:val="none" w:sz="0" w:space="0"/>
        <w:left w:val="none" w:sz="0" w:space="0"/>
        <w:bottom w:val="none" w:sz="0" w:space="0"/>
        <w:right w:val="none" w:sz="0" w:space="0"/>
      </w:pgBorders>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Unicode MS">
    <w:panose1 w:val="020B0604020202020204"/>
    <w:charset w:val="86"/>
    <w:family w:val="swiss"/>
    <w:pitch w:val="default"/>
    <w:sig w:usb0="FFFFFFFF" w:usb1="E9FFFFFF" w:usb2="0000003F" w:usb3="00000000" w:csb0="603F01FF" w:csb1="FFFF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auto"/>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roma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C8E182">
    <w:pPr>
      <w:spacing w:line="14" w:lineRule="auto"/>
      <w:rPr>
        <w:sz w:val="20"/>
        <w:szCs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AE97A">
    <w:pPr>
      <w:spacing w:line="14" w:lineRule="auto"/>
      <w:rPr>
        <w:sz w:val="20"/>
        <w:szCs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C0EE0">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25728702"/>
    </w:sdtPr>
    <w:sdtContent>
      <w:p w14:paraId="1426A659">
        <w:pPr>
          <w:pStyle w:val="23"/>
          <w:ind w:firstLine="480"/>
          <w:jc w:val="center"/>
        </w:pPr>
        <w:r>
          <w:fldChar w:fldCharType="begin"/>
        </w:r>
        <w:r>
          <w:instrText xml:space="preserve">PAGE   \* MERGEFORMAT</w:instrText>
        </w:r>
        <w:r>
          <w:fldChar w:fldCharType="separate"/>
        </w:r>
        <w:r>
          <w:rPr>
            <w:lang w:val="zh-CN" w:eastAsia="zh-CN"/>
          </w:rPr>
          <w:t>10</w:t>
        </w:r>
        <w:r>
          <w:rPr>
            <w:lang w:val="zh-CN" w:eastAsia="zh-CN"/>
          </w:rPr>
          <w:fldChar w:fldCharType="end"/>
        </w:r>
      </w:p>
    </w:sdtContent>
  </w:sdt>
  <w:p w14:paraId="5E78939D">
    <w:pPr>
      <w:spacing w:line="14" w:lineRule="auto"/>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631FA">
    <w:pPr>
      <w:spacing w:line="14" w:lineRule="auto"/>
      <w:rPr>
        <w:sz w:val="20"/>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B2AFE">
    <w:pPr>
      <w:spacing w:line="14" w:lineRule="auto"/>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88355389"/>
    </w:sdtPr>
    <w:sdtContent>
      <w:p w14:paraId="46F7BA89">
        <w:pPr>
          <w:pStyle w:val="23"/>
          <w:ind w:firstLine="480"/>
          <w:jc w:val="center"/>
        </w:pPr>
        <w:r>
          <w:fldChar w:fldCharType="begin"/>
        </w:r>
        <w:r>
          <w:instrText xml:space="preserve">PAGE   \* MERGEFORMAT</w:instrText>
        </w:r>
        <w:r>
          <w:fldChar w:fldCharType="separate"/>
        </w:r>
        <w:r>
          <w:rPr>
            <w:lang w:val="zh-CN" w:eastAsia="zh-CN"/>
          </w:rPr>
          <w:t>9</w:t>
        </w:r>
        <w:r>
          <w:rPr>
            <w:lang w:val="zh-CN" w:eastAsia="zh-CN"/>
          </w:rPr>
          <w:fldChar w:fldCharType="end"/>
        </w:r>
      </w:p>
    </w:sdtContent>
  </w:sdt>
  <w:p w14:paraId="7DCF68C6">
    <w:pPr>
      <w:spacing w:line="14" w:lineRule="auto"/>
      <w:rPr>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78712"/>
    </w:sdtPr>
    <w:sdtContent>
      <w:p w14:paraId="358ED819">
        <w:pPr>
          <w:pStyle w:val="23"/>
          <w:ind w:firstLine="480"/>
          <w:jc w:val="center"/>
        </w:pPr>
        <w:r>
          <w:fldChar w:fldCharType="begin"/>
        </w:r>
        <w:r>
          <w:instrText xml:space="preserve">PAGE   \* MERGEFORMAT</w:instrText>
        </w:r>
        <w:r>
          <w:fldChar w:fldCharType="separate"/>
        </w:r>
        <w:r>
          <w:rPr>
            <w:lang w:val="zh-CN" w:eastAsia="zh-CN"/>
          </w:rPr>
          <w:t>10</w:t>
        </w:r>
        <w:r>
          <w:rPr>
            <w:lang w:val="zh-CN" w:eastAsia="zh-CN"/>
          </w:rPr>
          <w:fldChar w:fldCharType="end"/>
        </w:r>
      </w:p>
    </w:sdtContent>
  </w:sdt>
  <w:p w14:paraId="7D28A846">
    <w:pPr>
      <w:spacing w:line="14" w:lineRule="auto"/>
      <w:rPr>
        <w:sz w:val="20"/>
        <w:szCs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2990A">
    <w:pPr>
      <w:spacing w:line="14" w:lineRule="auto"/>
      <w:rPr>
        <w:sz w:val="20"/>
        <w:szCs w:val="20"/>
      </w:rPr>
    </w:pPr>
    <w:r>
      <w:rPr>
        <w:sz w:val="20"/>
      </w:rPr>
      <w:pict>
        <v:shape id="_x0000_s2049" o:spid="_x0000_s2049"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joinstyle="miter"/>
          <v:imagedata o:title=""/>
          <o:lock v:ext="edit"/>
          <v:textbox inset="0mm,0mm,0mm,0mm" style="mso-fit-shape-to-text:t;">
            <w:txbxContent>
              <w:p w14:paraId="4DC893E8">
                <w:pPr>
                  <w:pStyle w:val="23"/>
                </w:pPr>
                <w:r>
                  <w:fldChar w:fldCharType="begin"/>
                </w:r>
                <w:r>
                  <w:instrText xml:space="preserve"> PAGE  \* MERGEFORMAT </w:instrText>
                </w:r>
                <w:r>
                  <w:fldChar w:fldCharType="separate"/>
                </w:r>
                <w:r>
                  <w:t>35</w:t>
                </w:r>
                <w: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FF922">
    <w:pPr>
      <w:spacing w:line="14" w:lineRule="auto"/>
      <w:rPr>
        <w:sz w:val="20"/>
        <w:szCs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B97524">
    <w:pPr>
      <w:spacing w:line="14" w:lineRule="auto"/>
      <w:rPr>
        <w:sz w:val="20"/>
        <w:szCs w:val="2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4085A7">
    <w:pPr>
      <w:pStyle w:val="24"/>
      <w:tabs>
        <w:tab w:val="left" w:pos="3943"/>
        <w:tab w:val="clear" w:pos="4153"/>
      </w:tabs>
      <w:rPr>
        <w:rFonts w:eastAsia="宋体"/>
        <w:lang w:eastAsia="zh-CN"/>
      </w:rPr>
    </w:pPr>
    <w:r>
      <w:rPr>
        <w:rFonts w:hint="eastAsia" w:eastAsia="宋体"/>
        <w:lang w:eastAsia="zh-CN"/>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35CB12">
    <w:pPr>
      <w:pStyle w:val="24"/>
      <w:tabs>
        <w:tab w:val="left" w:pos="3943"/>
        <w:tab w:val="clear" w:pos="4153"/>
      </w:tabs>
      <w:rPr>
        <w:rFonts w:eastAsia="宋体"/>
        <w:lang w:eastAsia="zh-CN"/>
      </w:rPr>
    </w:pPr>
    <w:r>
      <w:rPr>
        <w:rFonts w:hint="eastAsia" w:eastAsia="宋体"/>
        <w:lang w:eastAsia="zh-CN"/>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compat>
    <w:ulTrailSpace/>
    <w:doNotExpandShiftReturn/>
    <w:doNotWrapTextWithPunct/>
    <w:doNotUseEastAsianBreakRules/>
    <w:useFELayout/>
    <w:doNotUseIndentAsNumberingTabStop/>
    <w:useAltKinsokuLineBreakRules/>
    <w:compatSetting w:name="compatibilityMode" w:uri="http://schemas.microsoft.com/office/word" w:val="12"/>
  </w:compat>
  <w:docVars>
    <w:docVar w:name="commondata" w:val="eyJoZGlkIjoiZmZlZTJmYTBhODY1ZmI2NDI2MmQxNDBhOTJjYjU2MDIifQ=="/>
  </w:docVars>
  <w:rsids>
    <w:rsidRoot w:val="00172A27"/>
    <w:rsid w:val="0002561E"/>
    <w:rsid w:val="000273CC"/>
    <w:rsid w:val="00037F82"/>
    <w:rsid w:val="00060CC8"/>
    <w:rsid w:val="000743BF"/>
    <w:rsid w:val="000969AD"/>
    <w:rsid w:val="000A24BC"/>
    <w:rsid w:val="000E7B1F"/>
    <w:rsid w:val="00101E3D"/>
    <w:rsid w:val="00103897"/>
    <w:rsid w:val="00120A54"/>
    <w:rsid w:val="00136379"/>
    <w:rsid w:val="00152D57"/>
    <w:rsid w:val="0015467B"/>
    <w:rsid w:val="00155351"/>
    <w:rsid w:val="0016344D"/>
    <w:rsid w:val="00172A27"/>
    <w:rsid w:val="001A2968"/>
    <w:rsid w:val="001C048E"/>
    <w:rsid w:val="001C66E0"/>
    <w:rsid w:val="00200271"/>
    <w:rsid w:val="00237A6E"/>
    <w:rsid w:val="00270BE1"/>
    <w:rsid w:val="002849EC"/>
    <w:rsid w:val="0028581E"/>
    <w:rsid w:val="00286D37"/>
    <w:rsid w:val="00292189"/>
    <w:rsid w:val="002A5DED"/>
    <w:rsid w:val="002B5AF4"/>
    <w:rsid w:val="002E1F6F"/>
    <w:rsid w:val="002F5EE7"/>
    <w:rsid w:val="00300EA5"/>
    <w:rsid w:val="00306837"/>
    <w:rsid w:val="00317240"/>
    <w:rsid w:val="003247EA"/>
    <w:rsid w:val="003357D8"/>
    <w:rsid w:val="0036354D"/>
    <w:rsid w:val="00364443"/>
    <w:rsid w:val="00384B9C"/>
    <w:rsid w:val="00394592"/>
    <w:rsid w:val="003A6FE0"/>
    <w:rsid w:val="003B5D44"/>
    <w:rsid w:val="003F61FB"/>
    <w:rsid w:val="00416146"/>
    <w:rsid w:val="00430D5E"/>
    <w:rsid w:val="00445532"/>
    <w:rsid w:val="00454A23"/>
    <w:rsid w:val="00461540"/>
    <w:rsid w:val="00490B57"/>
    <w:rsid w:val="00496DA9"/>
    <w:rsid w:val="004D601E"/>
    <w:rsid w:val="004E2611"/>
    <w:rsid w:val="00500138"/>
    <w:rsid w:val="005009DA"/>
    <w:rsid w:val="00501D68"/>
    <w:rsid w:val="00501EE6"/>
    <w:rsid w:val="0050217B"/>
    <w:rsid w:val="00507B3B"/>
    <w:rsid w:val="00515C5E"/>
    <w:rsid w:val="00524C8E"/>
    <w:rsid w:val="00527B4A"/>
    <w:rsid w:val="00533F48"/>
    <w:rsid w:val="00537816"/>
    <w:rsid w:val="0057172F"/>
    <w:rsid w:val="00577341"/>
    <w:rsid w:val="00577718"/>
    <w:rsid w:val="0058686E"/>
    <w:rsid w:val="00591D44"/>
    <w:rsid w:val="00597FD6"/>
    <w:rsid w:val="005C088A"/>
    <w:rsid w:val="005D106C"/>
    <w:rsid w:val="005E0AA6"/>
    <w:rsid w:val="005F4FC5"/>
    <w:rsid w:val="006048E2"/>
    <w:rsid w:val="00621C19"/>
    <w:rsid w:val="00637BD3"/>
    <w:rsid w:val="00637BD4"/>
    <w:rsid w:val="00642575"/>
    <w:rsid w:val="00656165"/>
    <w:rsid w:val="00667428"/>
    <w:rsid w:val="00675E8D"/>
    <w:rsid w:val="0069744B"/>
    <w:rsid w:val="006A4A96"/>
    <w:rsid w:val="006A4F3F"/>
    <w:rsid w:val="006B0326"/>
    <w:rsid w:val="006C3895"/>
    <w:rsid w:val="006D15BB"/>
    <w:rsid w:val="006D2A98"/>
    <w:rsid w:val="006D6F3B"/>
    <w:rsid w:val="006F5FC1"/>
    <w:rsid w:val="00700201"/>
    <w:rsid w:val="00743B89"/>
    <w:rsid w:val="00753ABF"/>
    <w:rsid w:val="00770308"/>
    <w:rsid w:val="00774220"/>
    <w:rsid w:val="007765D3"/>
    <w:rsid w:val="0078572F"/>
    <w:rsid w:val="00794E1B"/>
    <w:rsid w:val="00813C09"/>
    <w:rsid w:val="00822DE0"/>
    <w:rsid w:val="00852AA6"/>
    <w:rsid w:val="00861DAB"/>
    <w:rsid w:val="00866A89"/>
    <w:rsid w:val="0087167F"/>
    <w:rsid w:val="0087340C"/>
    <w:rsid w:val="0088691F"/>
    <w:rsid w:val="008B1FAA"/>
    <w:rsid w:val="008B5614"/>
    <w:rsid w:val="008B73C2"/>
    <w:rsid w:val="008B76E5"/>
    <w:rsid w:val="008D2123"/>
    <w:rsid w:val="00912601"/>
    <w:rsid w:val="0093068D"/>
    <w:rsid w:val="009464AE"/>
    <w:rsid w:val="009522AF"/>
    <w:rsid w:val="009B57CC"/>
    <w:rsid w:val="009D4B30"/>
    <w:rsid w:val="009D5909"/>
    <w:rsid w:val="009F2E6D"/>
    <w:rsid w:val="00A1182A"/>
    <w:rsid w:val="00A22CB2"/>
    <w:rsid w:val="00A425CF"/>
    <w:rsid w:val="00A566D5"/>
    <w:rsid w:val="00A61BE3"/>
    <w:rsid w:val="00A62B04"/>
    <w:rsid w:val="00A67D58"/>
    <w:rsid w:val="00A90426"/>
    <w:rsid w:val="00A95B9E"/>
    <w:rsid w:val="00AC24C1"/>
    <w:rsid w:val="00AE3210"/>
    <w:rsid w:val="00B327CD"/>
    <w:rsid w:val="00B71F65"/>
    <w:rsid w:val="00BA223F"/>
    <w:rsid w:val="00BA27C6"/>
    <w:rsid w:val="00BB3D69"/>
    <w:rsid w:val="00BC162E"/>
    <w:rsid w:val="00BF52BD"/>
    <w:rsid w:val="00C121B6"/>
    <w:rsid w:val="00C24DB4"/>
    <w:rsid w:val="00C6664C"/>
    <w:rsid w:val="00C77D79"/>
    <w:rsid w:val="00C80027"/>
    <w:rsid w:val="00C916BC"/>
    <w:rsid w:val="00CA65DA"/>
    <w:rsid w:val="00CB5A10"/>
    <w:rsid w:val="00CD1788"/>
    <w:rsid w:val="00CD7781"/>
    <w:rsid w:val="00CF4B89"/>
    <w:rsid w:val="00D26D9F"/>
    <w:rsid w:val="00D41610"/>
    <w:rsid w:val="00D43022"/>
    <w:rsid w:val="00D438F2"/>
    <w:rsid w:val="00D52EF1"/>
    <w:rsid w:val="00D777C5"/>
    <w:rsid w:val="00D92E8E"/>
    <w:rsid w:val="00E26CAB"/>
    <w:rsid w:val="00E30FAC"/>
    <w:rsid w:val="00E50410"/>
    <w:rsid w:val="00E514A7"/>
    <w:rsid w:val="00E60A9C"/>
    <w:rsid w:val="00E812F8"/>
    <w:rsid w:val="00E827E8"/>
    <w:rsid w:val="00E82E0B"/>
    <w:rsid w:val="00E96C8B"/>
    <w:rsid w:val="00EC6CEB"/>
    <w:rsid w:val="00ED3BD8"/>
    <w:rsid w:val="00ED5D27"/>
    <w:rsid w:val="00EE5031"/>
    <w:rsid w:val="00EE61E6"/>
    <w:rsid w:val="00EF0A9B"/>
    <w:rsid w:val="00F20CB6"/>
    <w:rsid w:val="00F215D4"/>
    <w:rsid w:val="00F30A25"/>
    <w:rsid w:val="00F56AA7"/>
    <w:rsid w:val="00F606BE"/>
    <w:rsid w:val="00F72CA9"/>
    <w:rsid w:val="00F76363"/>
    <w:rsid w:val="00F907CF"/>
    <w:rsid w:val="00FD52B3"/>
    <w:rsid w:val="010073E9"/>
    <w:rsid w:val="01013521"/>
    <w:rsid w:val="01021C86"/>
    <w:rsid w:val="01037AB9"/>
    <w:rsid w:val="01071A89"/>
    <w:rsid w:val="010A29DC"/>
    <w:rsid w:val="010F598D"/>
    <w:rsid w:val="01101675"/>
    <w:rsid w:val="01141165"/>
    <w:rsid w:val="01183E66"/>
    <w:rsid w:val="011B0745"/>
    <w:rsid w:val="011B3C0A"/>
    <w:rsid w:val="011D2710"/>
    <w:rsid w:val="012108B0"/>
    <w:rsid w:val="01211B1D"/>
    <w:rsid w:val="012375FA"/>
    <w:rsid w:val="012515C4"/>
    <w:rsid w:val="01260E98"/>
    <w:rsid w:val="012670EA"/>
    <w:rsid w:val="01281EF1"/>
    <w:rsid w:val="012833B3"/>
    <w:rsid w:val="012A6BDB"/>
    <w:rsid w:val="012B2D7C"/>
    <w:rsid w:val="012D2227"/>
    <w:rsid w:val="012F2443"/>
    <w:rsid w:val="01303AC5"/>
    <w:rsid w:val="01344528"/>
    <w:rsid w:val="013551C5"/>
    <w:rsid w:val="01360ADA"/>
    <w:rsid w:val="01362CE0"/>
    <w:rsid w:val="01362F33"/>
    <w:rsid w:val="01366CE4"/>
    <w:rsid w:val="01380FFD"/>
    <w:rsid w:val="013855F0"/>
    <w:rsid w:val="0139084D"/>
    <w:rsid w:val="01392301"/>
    <w:rsid w:val="013F5C5A"/>
    <w:rsid w:val="01422176"/>
    <w:rsid w:val="01431BEB"/>
    <w:rsid w:val="014329B0"/>
    <w:rsid w:val="014557C2"/>
    <w:rsid w:val="0147778C"/>
    <w:rsid w:val="014A2E39"/>
    <w:rsid w:val="014A39F3"/>
    <w:rsid w:val="014C1E69"/>
    <w:rsid w:val="014D2402"/>
    <w:rsid w:val="014D28C9"/>
    <w:rsid w:val="015B6D94"/>
    <w:rsid w:val="015C48BA"/>
    <w:rsid w:val="015E6884"/>
    <w:rsid w:val="016141BD"/>
    <w:rsid w:val="016605BE"/>
    <w:rsid w:val="01670258"/>
    <w:rsid w:val="01675739"/>
    <w:rsid w:val="01681E8F"/>
    <w:rsid w:val="016A1808"/>
    <w:rsid w:val="016F283F"/>
    <w:rsid w:val="016F562F"/>
    <w:rsid w:val="01710365"/>
    <w:rsid w:val="0171268F"/>
    <w:rsid w:val="01783822"/>
    <w:rsid w:val="01787557"/>
    <w:rsid w:val="017A2A2B"/>
    <w:rsid w:val="017D6197"/>
    <w:rsid w:val="01804BAE"/>
    <w:rsid w:val="01806117"/>
    <w:rsid w:val="018362EB"/>
    <w:rsid w:val="0184732B"/>
    <w:rsid w:val="01870692"/>
    <w:rsid w:val="0187402D"/>
    <w:rsid w:val="01876C3F"/>
    <w:rsid w:val="018856AF"/>
    <w:rsid w:val="018915E1"/>
    <w:rsid w:val="018B641E"/>
    <w:rsid w:val="018C0E54"/>
    <w:rsid w:val="018F4C90"/>
    <w:rsid w:val="01902462"/>
    <w:rsid w:val="01933793"/>
    <w:rsid w:val="01944054"/>
    <w:rsid w:val="01964270"/>
    <w:rsid w:val="01973BAD"/>
    <w:rsid w:val="0198582E"/>
    <w:rsid w:val="019C168A"/>
    <w:rsid w:val="019D0AA3"/>
    <w:rsid w:val="019F1377"/>
    <w:rsid w:val="01A16E17"/>
    <w:rsid w:val="01A22F3C"/>
    <w:rsid w:val="01A56261"/>
    <w:rsid w:val="01A60BB9"/>
    <w:rsid w:val="01A6401A"/>
    <w:rsid w:val="01A87CC8"/>
    <w:rsid w:val="01AC0F28"/>
    <w:rsid w:val="01AF0507"/>
    <w:rsid w:val="01B009AB"/>
    <w:rsid w:val="01B20120"/>
    <w:rsid w:val="01B25E8C"/>
    <w:rsid w:val="01B771B1"/>
    <w:rsid w:val="01B91D0C"/>
    <w:rsid w:val="01BA398A"/>
    <w:rsid w:val="01C80F04"/>
    <w:rsid w:val="01C82186"/>
    <w:rsid w:val="01CD126D"/>
    <w:rsid w:val="01CE57AB"/>
    <w:rsid w:val="01CF32DE"/>
    <w:rsid w:val="01D134FA"/>
    <w:rsid w:val="01D37272"/>
    <w:rsid w:val="01D53A3B"/>
    <w:rsid w:val="01D75ABF"/>
    <w:rsid w:val="01DD58AF"/>
    <w:rsid w:val="01E41926"/>
    <w:rsid w:val="01E46C6A"/>
    <w:rsid w:val="01EA2F9A"/>
    <w:rsid w:val="01EA48BD"/>
    <w:rsid w:val="01EA636A"/>
    <w:rsid w:val="01EB520E"/>
    <w:rsid w:val="01EC0334"/>
    <w:rsid w:val="01ED1446"/>
    <w:rsid w:val="01F24642"/>
    <w:rsid w:val="01F90A92"/>
    <w:rsid w:val="01FD3964"/>
    <w:rsid w:val="01FD6C7C"/>
    <w:rsid w:val="01FF2761"/>
    <w:rsid w:val="02005B8D"/>
    <w:rsid w:val="020531A4"/>
    <w:rsid w:val="02056166"/>
    <w:rsid w:val="02056B42"/>
    <w:rsid w:val="020D58EA"/>
    <w:rsid w:val="0211074A"/>
    <w:rsid w:val="0212169C"/>
    <w:rsid w:val="021358C1"/>
    <w:rsid w:val="0216440C"/>
    <w:rsid w:val="021B773D"/>
    <w:rsid w:val="021F497E"/>
    <w:rsid w:val="02201D8C"/>
    <w:rsid w:val="02247EF6"/>
    <w:rsid w:val="02254CB8"/>
    <w:rsid w:val="02274C11"/>
    <w:rsid w:val="022B5117"/>
    <w:rsid w:val="022C24DE"/>
    <w:rsid w:val="023330F4"/>
    <w:rsid w:val="023E3253"/>
    <w:rsid w:val="023F0464"/>
    <w:rsid w:val="02405F8A"/>
    <w:rsid w:val="02411103"/>
    <w:rsid w:val="024350F3"/>
    <w:rsid w:val="02446E77"/>
    <w:rsid w:val="0249419E"/>
    <w:rsid w:val="024C1750"/>
    <w:rsid w:val="024F3AB2"/>
    <w:rsid w:val="025263E9"/>
    <w:rsid w:val="0253127D"/>
    <w:rsid w:val="02537BC6"/>
    <w:rsid w:val="02544ACF"/>
    <w:rsid w:val="02546A64"/>
    <w:rsid w:val="02551A35"/>
    <w:rsid w:val="025832D3"/>
    <w:rsid w:val="02591627"/>
    <w:rsid w:val="025F4662"/>
    <w:rsid w:val="0264611C"/>
    <w:rsid w:val="026522DA"/>
    <w:rsid w:val="02666D64"/>
    <w:rsid w:val="026701F4"/>
    <w:rsid w:val="02684B2A"/>
    <w:rsid w:val="02685C0C"/>
    <w:rsid w:val="026A4AE4"/>
    <w:rsid w:val="026C73FA"/>
    <w:rsid w:val="026D3223"/>
    <w:rsid w:val="026E2AF7"/>
    <w:rsid w:val="0273635F"/>
    <w:rsid w:val="02785724"/>
    <w:rsid w:val="02786C45"/>
    <w:rsid w:val="027D0F8C"/>
    <w:rsid w:val="0281562D"/>
    <w:rsid w:val="02816CCE"/>
    <w:rsid w:val="02820350"/>
    <w:rsid w:val="02825306"/>
    <w:rsid w:val="028265A2"/>
    <w:rsid w:val="0284231A"/>
    <w:rsid w:val="02860A97"/>
    <w:rsid w:val="0288005D"/>
    <w:rsid w:val="028A358E"/>
    <w:rsid w:val="028B6CBA"/>
    <w:rsid w:val="02913924"/>
    <w:rsid w:val="029574BC"/>
    <w:rsid w:val="029978D4"/>
    <w:rsid w:val="029A1B3E"/>
    <w:rsid w:val="029C3B08"/>
    <w:rsid w:val="02A1111E"/>
    <w:rsid w:val="02A12DA5"/>
    <w:rsid w:val="02A21D9F"/>
    <w:rsid w:val="02A46519"/>
    <w:rsid w:val="02A62291"/>
    <w:rsid w:val="02A97FD3"/>
    <w:rsid w:val="02AB385A"/>
    <w:rsid w:val="02B24CD3"/>
    <w:rsid w:val="02B349AE"/>
    <w:rsid w:val="02B36029"/>
    <w:rsid w:val="02B458C1"/>
    <w:rsid w:val="02B659C3"/>
    <w:rsid w:val="02B65E1F"/>
    <w:rsid w:val="02B67F10"/>
    <w:rsid w:val="02B721D7"/>
    <w:rsid w:val="02B726F0"/>
    <w:rsid w:val="02B769AE"/>
    <w:rsid w:val="02BA62B6"/>
    <w:rsid w:val="02BE23AF"/>
    <w:rsid w:val="02BE6CEC"/>
    <w:rsid w:val="02C170CB"/>
    <w:rsid w:val="02C24BF1"/>
    <w:rsid w:val="02C32E43"/>
    <w:rsid w:val="02C46E62"/>
    <w:rsid w:val="02CB7F49"/>
    <w:rsid w:val="02CD301E"/>
    <w:rsid w:val="02CD5A6F"/>
    <w:rsid w:val="02D45E86"/>
    <w:rsid w:val="02D50705"/>
    <w:rsid w:val="02D607C9"/>
    <w:rsid w:val="02D7069C"/>
    <w:rsid w:val="02D73AE8"/>
    <w:rsid w:val="02D85D9F"/>
    <w:rsid w:val="02D97996"/>
    <w:rsid w:val="02DC5065"/>
    <w:rsid w:val="02DD42B6"/>
    <w:rsid w:val="02DF12B0"/>
    <w:rsid w:val="02DF39F5"/>
    <w:rsid w:val="02DF57A3"/>
    <w:rsid w:val="02E01C47"/>
    <w:rsid w:val="02E41280"/>
    <w:rsid w:val="02E6289D"/>
    <w:rsid w:val="02E828A9"/>
    <w:rsid w:val="02EA04F8"/>
    <w:rsid w:val="02EA0C8C"/>
    <w:rsid w:val="02EA4873"/>
    <w:rsid w:val="02EA690B"/>
    <w:rsid w:val="02F14027"/>
    <w:rsid w:val="02F254D6"/>
    <w:rsid w:val="02FA12EA"/>
    <w:rsid w:val="0300460A"/>
    <w:rsid w:val="03027F1F"/>
    <w:rsid w:val="03035935"/>
    <w:rsid w:val="03045E00"/>
    <w:rsid w:val="030671D3"/>
    <w:rsid w:val="03074709"/>
    <w:rsid w:val="03080ACF"/>
    <w:rsid w:val="030A488F"/>
    <w:rsid w:val="030A5EB4"/>
    <w:rsid w:val="030B491C"/>
    <w:rsid w:val="030F6088"/>
    <w:rsid w:val="03104FB0"/>
    <w:rsid w:val="031063E0"/>
    <w:rsid w:val="031315F4"/>
    <w:rsid w:val="03157FD1"/>
    <w:rsid w:val="03185B0F"/>
    <w:rsid w:val="03196F07"/>
    <w:rsid w:val="031A59A9"/>
    <w:rsid w:val="031E276F"/>
    <w:rsid w:val="03231B33"/>
    <w:rsid w:val="032633D2"/>
    <w:rsid w:val="032B09E8"/>
    <w:rsid w:val="032D4760"/>
    <w:rsid w:val="032E652D"/>
    <w:rsid w:val="032F5D38"/>
    <w:rsid w:val="03304250"/>
    <w:rsid w:val="0331387D"/>
    <w:rsid w:val="0331786F"/>
    <w:rsid w:val="03324053"/>
    <w:rsid w:val="03332F3B"/>
    <w:rsid w:val="03367AB9"/>
    <w:rsid w:val="033867F7"/>
    <w:rsid w:val="03393105"/>
    <w:rsid w:val="033A0C2B"/>
    <w:rsid w:val="033B53ED"/>
    <w:rsid w:val="033C0E47"/>
    <w:rsid w:val="03411C29"/>
    <w:rsid w:val="0341630F"/>
    <w:rsid w:val="03481B26"/>
    <w:rsid w:val="034C108A"/>
    <w:rsid w:val="034F76D7"/>
    <w:rsid w:val="03501070"/>
    <w:rsid w:val="035024D1"/>
    <w:rsid w:val="035148F2"/>
    <w:rsid w:val="03525F75"/>
    <w:rsid w:val="03555A65"/>
    <w:rsid w:val="03557450"/>
    <w:rsid w:val="03575C81"/>
    <w:rsid w:val="03582B96"/>
    <w:rsid w:val="03595555"/>
    <w:rsid w:val="035C5045"/>
    <w:rsid w:val="035E0DBD"/>
    <w:rsid w:val="03604B36"/>
    <w:rsid w:val="0361265C"/>
    <w:rsid w:val="036247CE"/>
    <w:rsid w:val="036363D4"/>
    <w:rsid w:val="03673C33"/>
    <w:rsid w:val="036740B9"/>
    <w:rsid w:val="036C573B"/>
    <w:rsid w:val="036C64F5"/>
    <w:rsid w:val="036D5E07"/>
    <w:rsid w:val="036D7252"/>
    <w:rsid w:val="03726617"/>
    <w:rsid w:val="037345B5"/>
    <w:rsid w:val="0374265D"/>
    <w:rsid w:val="0376703B"/>
    <w:rsid w:val="03781746"/>
    <w:rsid w:val="037857B5"/>
    <w:rsid w:val="0378730A"/>
    <w:rsid w:val="037A0CE5"/>
    <w:rsid w:val="037A4003"/>
    <w:rsid w:val="037C6B0C"/>
    <w:rsid w:val="037D6941"/>
    <w:rsid w:val="03806F86"/>
    <w:rsid w:val="03816AE2"/>
    <w:rsid w:val="03830824"/>
    <w:rsid w:val="0388380D"/>
    <w:rsid w:val="03896F55"/>
    <w:rsid w:val="038A1BB2"/>
    <w:rsid w:val="038A5F4B"/>
    <w:rsid w:val="038C341A"/>
    <w:rsid w:val="03914CEF"/>
    <w:rsid w:val="039327C6"/>
    <w:rsid w:val="03933160"/>
    <w:rsid w:val="0394658D"/>
    <w:rsid w:val="039520E0"/>
    <w:rsid w:val="0397607D"/>
    <w:rsid w:val="039842CF"/>
    <w:rsid w:val="039E30B5"/>
    <w:rsid w:val="03A34A22"/>
    <w:rsid w:val="03A52548"/>
    <w:rsid w:val="03A5486F"/>
    <w:rsid w:val="03A57F3B"/>
    <w:rsid w:val="03A74512"/>
    <w:rsid w:val="03AE3EA2"/>
    <w:rsid w:val="03AF1619"/>
    <w:rsid w:val="03AF2CAB"/>
    <w:rsid w:val="03AF33C7"/>
    <w:rsid w:val="03B1286D"/>
    <w:rsid w:val="03B22EB7"/>
    <w:rsid w:val="03B72FE7"/>
    <w:rsid w:val="03B81E62"/>
    <w:rsid w:val="03B820C2"/>
    <w:rsid w:val="03B92498"/>
    <w:rsid w:val="03BA1355"/>
    <w:rsid w:val="03BA7398"/>
    <w:rsid w:val="03BB41F9"/>
    <w:rsid w:val="03BB7FBE"/>
    <w:rsid w:val="03C255DE"/>
    <w:rsid w:val="03C44815"/>
    <w:rsid w:val="03C70711"/>
    <w:rsid w:val="03D06083"/>
    <w:rsid w:val="03D177E1"/>
    <w:rsid w:val="03D35307"/>
    <w:rsid w:val="03D360E9"/>
    <w:rsid w:val="03D41900"/>
    <w:rsid w:val="03D472D2"/>
    <w:rsid w:val="03D66BA6"/>
    <w:rsid w:val="03D83C7D"/>
    <w:rsid w:val="03DB41BC"/>
    <w:rsid w:val="03E219EE"/>
    <w:rsid w:val="03E40D21"/>
    <w:rsid w:val="03E87DB2"/>
    <w:rsid w:val="03ED61BC"/>
    <w:rsid w:val="03EE0393"/>
    <w:rsid w:val="03F139E0"/>
    <w:rsid w:val="03F417A5"/>
    <w:rsid w:val="03F4527E"/>
    <w:rsid w:val="03FD323B"/>
    <w:rsid w:val="03FD3860"/>
    <w:rsid w:val="03FD4132"/>
    <w:rsid w:val="03FF434E"/>
    <w:rsid w:val="03FF6707"/>
    <w:rsid w:val="040155A3"/>
    <w:rsid w:val="04025BED"/>
    <w:rsid w:val="0402799B"/>
    <w:rsid w:val="0403394A"/>
    <w:rsid w:val="0404586A"/>
    <w:rsid w:val="04063285"/>
    <w:rsid w:val="04066A8F"/>
    <w:rsid w:val="0408119C"/>
    <w:rsid w:val="040D00EE"/>
    <w:rsid w:val="040F0BC2"/>
    <w:rsid w:val="04110B6C"/>
    <w:rsid w:val="041531BA"/>
    <w:rsid w:val="04161698"/>
    <w:rsid w:val="04185410"/>
    <w:rsid w:val="04186D10"/>
    <w:rsid w:val="041A2F36"/>
    <w:rsid w:val="041B0FFD"/>
    <w:rsid w:val="041B280B"/>
    <w:rsid w:val="041F09EA"/>
    <w:rsid w:val="041F2902"/>
    <w:rsid w:val="041F4797"/>
    <w:rsid w:val="04202A43"/>
    <w:rsid w:val="04203085"/>
    <w:rsid w:val="042221F2"/>
    <w:rsid w:val="04253689"/>
    <w:rsid w:val="042711AF"/>
    <w:rsid w:val="04277BCC"/>
    <w:rsid w:val="04291801"/>
    <w:rsid w:val="042A0AA2"/>
    <w:rsid w:val="042A0CA0"/>
    <w:rsid w:val="042F4508"/>
    <w:rsid w:val="042F7EB9"/>
    <w:rsid w:val="04302789"/>
    <w:rsid w:val="04310E7B"/>
    <w:rsid w:val="04316645"/>
    <w:rsid w:val="04333E3D"/>
    <w:rsid w:val="04343B45"/>
    <w:rsid w:val="04386B40"/>
    <w:rsid w:val="043D1AA0"/>
    <w:rsid w:val="044004C3"/>
    <w:rsid w:val="04402271"/>
    <w:rsid w:val="044126CC"/>
    <w:rsid w:val="0443541C"/>
    <w:rsid w:val="04455AD9"/>
    <w:rsid w:val="0446687A"/>
    <w:rsid w:val="04487B89"/>
    <w:rsid w:val="044E0E32"/>
    <w:rsid w:val="044E498E"/>
    <w:rsid w:val="044F0706"/>
    <w:rsid w:val="045160C6"/>
    <w:rsid w:val="045314BB"/>
    <w:rsid w:val="04537858"/>
    <w:rsid w:val="04561E59"/>
    <w:rsid w:val="045B52FD"/>
    <w:rsid w:val="04627993"/>
    <w:rsid w:val="046643CE"/>
    <w:rsid w:val="046B10F8"/>
    <w:rsid w:val="046C0B29"/>
    <w:rsid w:val="046D472A"/>
    <w:rsid w:val="046F6CE8"/>
    <w:rsid w:val="04700DA8"/>
    <w:rsid w:val="04715D5B"/>
    <w:rsid w:val="0474322B"/>
    <w:rsid w:val="047A7FDB"/>
    <w:rsid w:val="047C6AB6"/>
    <w:rsid w:val="047F3DCD"/>
    <w:rsid w:val="0482288A"/>
    <w:rsid w:val="04843BBC"/>
    <w:rsid w:val="04867C0A"/>
    <w:rsid w:val="048760F2"/>
    <w:rsid w:val="048B09EF"/>
    <w:rsid w:val="048C1970"/>
    <w:rsid w:val="048C3708"/>
    <w:rsid w:val="048D5DEF"/>
    <w:rsid w:val="048F2ACB"/>
    <w:rsid w:val="04910BD6"/>
    <w:rsid w:val="04910D1F"/>
    <w:rsid w:val="04912ACD"/>
    <w:rsid w:val="04917916"/>
    <w:rsid w:val="04934A97"/>
    <w:rsid w:val="04945891"/>
    <w:rsid w:val="049525BD"/>
    <w:rsid w:val="04953D64"/>
    <w:rsid w:val="0495504A"/>
    <w:rsid w:val="049802FF"/>
    <w:rsid w:val="049B646E"/>
    <w:rsid w:val="049D76C3"/>
    <w:rsid w:val="049F6F4F"/>
    <w:rsid w:val="04A63C89"/>
    <w:rsid w:val="04A96068"/>
    <w:rsid w:val="04AF0EF7"/>
    <w:rsid w:val="04B165CF"/>
    <w:rsid w:val="04B21985"/>
    <w:rsid w:val="04B50EB1"/>
    <w:rsid w:val="04B70785"/>
    <w:rsid w:val="04B71C09"/>
    <w:rsid w:val="04B9039A"/>
    <w:rsid w:val="04BD7600"/>
    <w:rsid w:val="04BD7D66"/>
    <w:rsid w:val="04BF588C"/>
    <w:rsid w:val="04BF6A88"/>
    <w:rsid w:val="04C9495C"/>
    <w:rsid w:val="04CB4416"/>
    <w:rsid w:val="04CC22D1"/>
    <w:rsid w:val="04D00AFA"/>
    <w:rsid w:val="04D01847"/>
    <w:rsid w:val="04D06B8C"/>
    <w:rsid w:val="04D279A2"/>
    <w:rsid w:val="04D27E1B"/>
    <w:rsid w:val="04D36653"/>
    <w:rsid w:val="04D41C64"/>
    <w:rsid w:val="04D550AF"/>
    <w:rsid w:val="04D766FE"/>
    <w:rsid w:val="04DA6F39"/>
    <w:rsid w:val="04DF601C"/>
    <w:rsid w:val="04E03DF3"/>
    <w:rsid w:val="04E86B91"/>
    <w:rsid w:val="04E90B5B"/>
    <w:rsid w:val="04E93D93"/>
    <w:rsid w:val="04E9709C"/>
    <w:rsid w:val="04ED23F9"/>
    <w:rsid w:val="04EE765A"/>
    <w:rsid w:val="04EE7F1F"/>
    <w:rsid w:val="04F136F2"/>
    <w:rsid w:val="04F4499F"/>
    <w:rsid w:val="04F82B4C"/>
    <w:rsid w:val="04FA2893"/>
    <w:rsid w:val="04FC088E"/>
    <w:rsid w:val="04FE4606"/>
    <w:rsid w:val="04FE63B4"/>
    <w:rsid w:val="050059B0"/>
    <w:rsid w:val="050115BD"/>
    <w:rsid w:val="050339CA"/>
    <w:rsid w:val="05093A9A"/>
    <w:rsid w:val="05130206"/>
    <w:rsid w:val="05177476"/>
    <w:rsid w:val="05184F9C"/>
    <w:rsid w:val="051A0D14"/>
    <w:rsid w:val="051B5B41"/>
    <w:rsid w:val="051E474B"/>
    <w:rsid w:val="051E6A56"/>
    <w:rsid w:val="05203638"/>
    <w:rsid w:val="05210DDC"/>
    <w:rsid w:val="052120A3"/>
    <w:rsid w:val="05236197"/>
    <w:rsid w:val="0525564C"/>
    <w:rsid w:val="05263948"/>
    <w:rsid w:val="0526590B"/>
    <w:rsid w:val="05277219"/>
    <w:rsid w:val="052809A5"/>
    <w:rsid w:val="052D4EEB"/>
    <w:rsid w:val="052D7F40"/>
    <w:rsid w:val="052E573D"/>
    <w:rsid w:val="052E656D"/>
    <w:rsid w:val="05332914"/>
    <w:rsid w:val="05344229"/>
    <w:rsid w:val="053A2F2C"/>
    <w:rsid w:val="053A4F12"/>
    <w:rsid w:val="0546482E"/>
    <w:rsid w:val="05465FAD"/>
    <w:rsid w:val="054A484C"/>
    <w:rsid w:val="054A784B"/>
    <w:rsid w:val="054D25DF"/>
    <w:rsid w:val="055265DE"/>
    <w:rsid w:val="055B3806"/>
    <w:rsid w:val="055F458F"/>
    <w:rsid w:val="05600E1D"/>
    <w:rsid w:val="0560706F"/>
    <w:rsid w:val="056106F1"/>
    <w:rsid w:val="05610F2D"/>
    <w:rsid w:val="0563090D"/>
    <w:rsid w:val="05656433"/>
    <w:rsid w:val="05685F23"/>
    <w:rsid w:val="056A1C9B"/>
    <w:rsid w:val="056D318A"/>
    <w:rsid w:val="05732E64"/>
    <w:rsid w:val="0575419C"/>
    <w:rsid w:val="05760640"/>
    <w:rsid w:val="05793C8D"/>
    <w:rsid w:val="058645FB"/>
    <w:rsid w:val="05865F71"/>
    <w:rsid w:val="058663AA"/>
    <w:rsid w:val="058A40EC"/>
    <w:rsid w:val="058D624E"/>
    <w:rsid w:val="05904459"/>
    <w:rsid w:val="059311E7"/>
    <w:rsid w:val="059705B7"/>
    <w:rsid w:val="0597676B"/>
    <w:rsid w:val="05980692"/>
    <w:rsid w:val="059B0A72"/>
    <w:rsid w:val="059B7B5F"/>
    <w:rsid w:val="059E0BDC"/>
    <w:rsid w:val="059E0C1C"/>
    <w:rsid w:val="059E2F24"/>
    <w:rsid w:val="059E4423"/>
    <w:rsid w:val="059E7B97"/>
    <w:rsid w:val="05A04499"/>
    <w:rsid w:val="05A0746B"/>
    <w:rsid w:val="05A911FD"/>
    <w:rsid w:val="05A924BE"/>
    <w:rsid w:val="05AA6BCD"/>
    <w:rsid w:val="05AD6F0C"/>
    <w:rsid w:val="05B226D5"/>
    <w:rsid w:val="05B24665"/>
    <w:rsid w:val="05B253F0"/>
    <w:rsid w:val="05B72A07"/>
    <w:rsid w:val="05B90F11"/>
    <w:rsid w:val="05BD626F"/>
    <w:rsid w:val="05C0008F"/>
    <w:rsid w:val="05C338AB"/>
    <w:rsid w:val="05C346A3"/>
    <w:rsid w:val="05C55124"/>
    <w:rsid w:val="05C868F2"/>
    <w:rsid w:val="05CB2E48"/>
    <w:rsid w:val="05CF7F18"/>
    <w:rsid w:val="05D2683A"/>
    <w:rsid w:val="05D51BEB"/>
    <w:rsid w:val="05D5231D"/>
    <w:rsid w:val="05D574A7"/>
    <w:rsid w:val="05DA1B4F"/>
    <w:rsid w:val="05DD246D"/>
    <w:rsid w:val="05DE1D42"/>
    <w:rsid w:val="05EB1606"/>
    <w:rsid w:val="05EC7EF8"/>
    <w:rsid w:val="05ED1BE1"/>
    <w:rsid w:val="05F006DD"/>
    <w:rsid w:val="05F1479C"/>
    <w:rsid w:val="05F56B27"/>
    <w:rsid w:val="05F601D2"/>
    <w:rsid w:val="05F61781"/>
    <w:rsid w:val="05F710FE"/>
    <w:rsid w:val="05F72E03"/>
    <w:rsid w:val="05F73C83"/>
    <w:rsid w:val="05F81055"/>
    <w:rsid w:val="05F94E0B"/>
    <w:rsid w:val="05FD666C"/>
    <w:rsid w:val="060317A8"/>
    <w:rsid w:val="06036825"/>
    <w:rsid w:val="06056643"/>
    <w:rsid w:val="06061926"/>
    <w:rsid w:val="06085010"/>
    <w:rsid w:val="060D199D"/>
    <w:rsid w:val="060E0879"/>
    <w:rsid w:val="060E54E3"/>
    <w:rsid w:val="06112117"/>
    <w:rsid w:val="06133DA2"/>
    <w:rsid w:val="06135E8F"/>
    <w:rsid w:val="06147E59"/>
    <w:rsid w:val="061741A3"/>
    <w:rsid w:val="06177CAA"/>
    <w:rsid w:val="06183F5D"/>
    <w:rsid w:val="062005AC"/>
    <w:rsid w:val="062101E3"/>
    <w:rsid w:val="06266937"/>
    <w:rsid w:val="0627193B"/>
    <w:rsid w:val="06287461"/>
    <w:rsid w:val="062A31D9"/>
    <w:rsid w:val="062E17DD"/>
    <w:rsid w:val="062F259D"/>
    <w:rsid w:val="06336D0E"/>
    <w:rsid w:val="06367DD0"/>
    <w:rsid w:val="063858F6"/>
    <w:rsid w:val="064402D2"/>
    <w:rsid w:val="064616F5"/>
    <w:rsid w:val="064760C8"/>
    <w:rsid w:val="064774BC"/>
    <w:rsid w:val="06497B03"/>
    <w:rsid w:val="064B372D"/>
    <w:rsid w:val="064C314F"/>
    <w:rsid w:val="064C75F3"/>
    <w:rsid w:val="065310FB"/>
    <w:rsid w:val="06532730"/>
    <w:rsid w:val="06563FCE"/>
    <w:rsid w:val="065837C4"/>
    <w:rsid w:val="06612A5D"/>
    <w:rsid w:val="06623BD9"/>
    <w:rsid w:val="06624721"/>
    <w:rsid w:val="066364ED"/>
    <w:rsid w:val="066945DC"/>
    <w:rsid w:val="066F6E3E"/>
    <w:rsid w:val="067032E2"/>
    <w:rsid w:val="067106CF"/>
    <w:rsid w:val="067601CC"/>
    <w:rsid w:val="0677779A"/>
    <w:rsid w:val="06782196"/>
    <w:rsid w:val="067A7CBC"/>
    <w:rsid w:val="067C17DE"/>
    <w:rsid w:val="067C28F8"/>
    <w:rsid w:val="067E70CB"/>
    <w:rsid w:val="067F3525"/>
    <w:rsid w:val="06824DC3"/>
    <w:rsid w:val="06840B3B"/>
    <w:rsid w:val="06891C3A"/>
    <w:rsid w:val="068943A3"/>
    <w:rsid w:val="068B1EC9"/>
    <w:rsid w:val="068B5760"/>
    <w:rsid w:val="068C79F0"/>
    <w:rsid w:val="069B4BD8"/>
    <w:rsid w:val="069E1A4B"/>
    <w:rsid w:val="069F5975"/>
    <w:rsid w:val="06A13366"/>
    <w:rsid w:val="06A2647F"/>
    <w:rsid w:val="06A50277"/>
    <w:rsid w:val="06A9051B"/>
    <w:rsid w:val="06AB5C85"/>
    <w:rsid w:val="06AE22EB"/>
    <w:rsid w:val="06AE3E0A"/>
    <w:rsid w:val="06B34F7C"/>
    <w:rsid w:val="06B37672"/>
    <w:rsid w:val="06B62CBE"/>
    <w:rsid w:val="06BA57D0"/>
    <w:rsid w:val="06BD225B"/>
    <w:rsid w:val="06BF7DC5"/>
    <w:rsid w:val="06C278B5"/>
    <w:rsid w:val="06C35129"/>
    <w:rsid w:val="06C42348"/>
    <w:rsid w:val="06CB49BC"/>
    <w:rsid w:val="06CD24E2"/>
    <w:rsid w:val="06D27AF8"/>
    <w:rsid w:val="06D33870"/>
    <w:rsid w:val="06D373CC"/>
    <w:rsid w:val="06D65F8D"/>
    <w:rsid w:val="06DB56B3"/>
    <w:rsid w:val="06DB65D6"/>
    <w:rsid w:val="06DC2F20"/>
    <w:rsid w:val="06DD024B"/>
    <w:rsid w:val="06DF2215"/>
    <w:rsid w:val="06E05335"/>
    <w:rsid w:val="06E8731C"/>
    <w:rsid w:val="06E96BF0"/>
    <w:rsid w:val="06EC048E"/>
    <w:rsid w:val="06EE2458"/>
    <w:rsid w:val="06F02091"/>
    <w:rsid w:val="06F20DCA"/>
    <w:rsid w:val="06F347DF"/>
    <w:rsid w:val="06F44A46"/>
    <w:rsid w:val="06F55647"/>
    <w:rsid w:val="06FD08ED"/>
    <w:rsid w:val="06FD4363"/>
    <w:rsid w:val="070007AB"/>
    <w:rsid w:val="07043D9E"/>
    <w:rsid w:val="07052BCE"/>
    <w:rsid w:val="0708176C"/>
    <w:rsid w:val="0708323C"/>
    <w:rsid w:val="07091040"/>
    <w:rsid w:val="070B0068"/>
    <w:rsid w:val="070B795F"/>
    <w:rsid w:val="070D08A9"/>
    <w:rsid w:val="07110FCD"/>
    <w:rsid w:val="07126361"/>
    <w:rsid w:val="07154D23"/>
    <w:rsid w:val="071727BF"/>
    <w:rsid w:val="0717375D"/>
    <w:rsid w:val="07175E76"/>
    <w:rsid w:val="0719771E"/>
    <w:rsid w:val="071A4FFB"/>
    <w:rsid w:val="07207F16"/>
    <w:rsid w:val="0721282E"/>
    <w:rsid w:val="07252BAA"/>
    <w:rsid w:val="0726559C"/>
    <w:rsid w:val="072721B6"/>
    <w:rsid w:val="07277039"/>
    <w:rsid w:val="07280E5C"/>
    <w:rsid w:val="07287718"/>
    <w:rsid w:val="072A7934"/>
    <w:rsid w:val="072B1776"/>
    <w:rsid w:val="072B7208"/>
    <w:rsid w:val="072C7947"/>
    <w:rsid w:val="072D7305"/>
    <w:rsid w:val="072E54F0"/>
    <w:rsid w:val="072F66F8"/>
    <w:rsid w:val="07353E8C"/>
    <w:rsid w:val="0736560D"/>
    <w:rsid w:val="073B7033"/>
    <w:rsid w:val="073E6F3C"/>
    <w:rsid w:val="07434E4C"/>
    <w:rsid w:val="074779E2"/>
    <w:rsid w:val="074860DC"/>
    <w:rsid w:val="07486471"/>
    <w:rsid w:val="074B6533"/>
    <w:rsid w:val="074F739B"/>
    <w:rsid w:val="075671B9"/>
    <w:rsid w:val="07575EBC"/>
    <w:rsid w:val="0757640C"/>
    <w:rsid w:val="07585B24"/>
    <w:rsid w:val="075A2260"/>
    <w:rsid w:val="075E313A"/>
    <w:rsid w:val="07630750"/>
    <w:rsid w:val="07637D82"/>
    <w:rsid w:val="076411DC"/>
    <w:rsid w:val="07660241"/>
    <w:rsid w:val="07662338"/>
    <w:rsid w:val="07697D31"/>
    <w:rsid w:val="076B38B7"/>
    <w:rsid w:val="076D0787"/>
    <w:rsid w:val="076E1D12"/>
    <w:rsid w:val="076F17EB"/>
    <w:rsid w:val="076F3599"/>
    <w:rsid w:val="07731F87"/>
    <w:rsid w:val="07782D20"/>
    <w:rsid w:val="07796F98"/>
    <w:rsid w:val="07797F74"/>
    <w:rsid w:val="077B0F9A"/>
    <w:rsid w:val="077B7356"/>
    <w:rsid w:val="077C1812"/>
    <w:rsid w:val="07815EB3"/>
    <w:rsid w:val="07826747"/>
    <w:rsid w:val="07846919"/>
    <w:rsid w:val="078828AD"/>
    <w:rsid w:val="07883E56"/>
    <w:rsid w:val="078A51CB"/>
    <w:rsid w:val="078D77D7"/>
    <w:rsid w:val="078E28D0"/>
    <w:rsid w:val="079052BE"/>
    <w:rsid w:val="07906F4A"/>
    <w:rsid w:val="07921036"/>
    <w:rsid w:val="079923C4"/>
    <w:rsid w:val="07996868"/>
    <w:rsid w:val="079A380F"/>
    <w:rsid w:val="079B438E"/>
    <w:rsid w:val="079D6A6A"/>
    <w:rsid w:val="079F736F"/>
    <w:rsid w:val="07A0211C"/>
    <w:rsid w:val="07A05586"/>
    <w:rsid w:val="07A1571D"/>
    <w:rsid w:val="07A34FF1"/>
    <w:rsid w:val="07A42CC2"/>
    <w:rsid w:val="07A5520D"/>
    <w:rsid w:val="07AC3EA4"/>
    <w:rsid w:val="07B00893"/>
    <w:rsid w:val="07B13BB2"/>
    <w:rsid w:val="07B37D43"/>
    <w:rsid w:val="07B53D79"/>
    <w:rsid w:val="07B92A66"/>
    <w:rsid w:val="07B93AB2"/>
    <w:rsid w:val="07BA233A"/>
    <w:rsid w:val="07C24113"/>
    <w:rsid w:val="07C30AFD"/>
    <w:rsid w:val="07C33254"/>
    <w:rsid w:val="07C3370E"/>
    <w:rsid w:val="07C35693"/>
    <w:rsid w:val="07C65E61"/>
    <w:rsid w:val="07C81677"/>
    <w:rsid w:val="07C84A57"/>
    <w:rsid w:val="07CC6B62"/>
    <w:rsid w:val="07CF0C6A"/>
    <w:rsid w:val="07CF4038"/>
    <w:rsid w:val="07CF432C"/>
    <w:rsid w:val="07D17F8A"/>
    <w:rsid w:val="07D21D7A"/>
    <w:rsid w:val="07D23B28"/>
    <w:rsid w:val="07D50BEA"/>
    <w:rsid w:val="07D96C64"/>
    <w:rsid w:val="07DB0D17"/>
    <w:rsid w:val="07DC2924"/>
    <w:rsid w:val="07DE24CD"/>
    <w:rsid w:val="07E04C1D"/>
    <w:rsid w:val="07E06245"/>
    <w:rsid w:val="07E102F6"/>
    <w:rsid w:val="07E47048"/>
    <w:rsid w:val="07E52AE8"/>
    <w:rsid w:val="07E55609"/>
    <w:rsid w:val="07E55848"/>
    <w:rsid w:val="07EA0E72"/>
    <w:rsid w:val="07EA4131"/>
    <w:rsid w:val="07EC4BEA"/>
    <w:rsid w:val="07ED2710"/>
    <w:rsid w:val="07F15E00"/>
    <w:rsid w:val="07F412A0"/>
    <w:rsid w:val="07F43A9E"/>
    <w:rsid w:val="07F615C4"/>
    <w:rsid w:val="07F67816"/>
    <w:rsid w:val="07F95781"/>
    <w:rsid w:val="07FB6BDB"/>
    <w:rsid w:val="07FC2953"/>
    <w:rsid w:val="07FC74CA"/>
    <w:rsid w:val="080265E2"/>
    <w:rsid w:val="08030185"/>
    <w:rsid w:val="08057A5A"/>
    <w:rsid w:val="080A1514"/>
    <w:rsid w:val="080A71AB"/>
    <w:rsid w:val="080A7D12"/>
    <w:rsid w:val="080C6227"/>
    <w:rsid w:val="080D164F"/>
    <w:rsid w:val="08145FE0"/>
    <w:rsid w:val="08152AED"/>
    <w:rsid w:val="08193505"/>
    <w:rsid w:val="081A063F"/>
    <w:rsid w:val="081B7D29"/>
    <w:rsid w:val="081C4DA3"/>
    <w:rsid w:val="081E1093"/>
    <w:rsid w:val="081F12D2"/>
    <w:rsid w:val="081F417F"/>
    <w:rsid w:val="08202AE5"/>
    <w:rsid w:val="08221794"/>
    <w:rsid w:val="082508B3"/>
    <w:rsid w:val="08251EAA"/>
    <w:rsid w:val="0828199A"/>
    <w:rsid w:val="08291C73"/>
    <w:rsid w:val="082A602E"/>
    <w:rsid w:val="082A74C0"/>
    <w:rsid w:val="082B5427"/>
    <w:rsid w:val="082D2F9E"/>
    <w:rsid w:val="082D6FB0"/>
    <w:rsid w:val="082F41D5"/>
    <w:rsid w:val="08305A1D"/>
    <w:rsid w:val="083204F2"/>
    <w:rsid w:val="083375A0"/>
    <w:rsid w:val="083640B7"/>
    <w:rsid w:val="083726F8"/>
    <w:rsid w:val="0838409E"/>
    <w:rsid w:val="08397703"/>
    <w:rsid w:val="083D6A8E"/>
    <w:rsid w:val="08422A5C"/>
    <w:rsid w:val="084542FA"/>
    <w:rsid w:val="08464B85"/>
    <w:rsid w:val="08473D58"/>
    <w:rsid w:val="084762C4"/>
    <w:rsid w:val="08485B98"/>
    <w:rsid w:val="084E071A"/>
    <w:rsid w:val="084F2F07"/>
    <w:rsid w:val="08510EF1"/>
    <w:rsid w:val="085310DB"/>
    <w:rsid w:val="08531BF0"/>
    <w:rsid w:val="085520B6"/>
    <w:rsid w:val="08555927"/>
    <w:rsid w:val="08561F7B"/>
    <w:rsid w:val="085716C3"/>
    <w:rsid w:val="085D7896"/>
    <w:rsid w:val="085E716A"/>
    <w:rsid w:val="08602C26"/>
    <w:rsid w:val="08604A95"/>
    <w:rsid w:val="08614583"/>
    <w:rsid w:val="08617090"/>
    <w:rsid w:val="08670714"/>
    <w:rsid w:val="08687FCD"/>
    <w:rsid w:val="0869623A"/>
    <w:rsid w:val="086A5B0F"/>
    <w:rsid w:val="086C55E5"/>
    <w:rsid w:val="086E678B"/>
    <w:rsid w:val="08716E9D"/>
    <w:rsid w:val="08744BDF"/>
    <w:rsid w:val="087526E4"/>
    <w:rsid w:val="0876230F"/>
    <w:rsid w:val="08762705"/>
    <w:rsid w:val="08773218"/>
    <w:rsid w:val="087846CF"/>
    <w:rsid w:val="087A0DDC"/>
    <w:rsid w:val="087B43B1"/>
    <w:rsid w:val="087D64A2"/>
    <w:rsid w:val="087E5E4E"/>
    <w:rsid w:val="08836BD0"/>
    <w:rsid w:val="088376C1"/>
    <w:rsid w:val="08844E22"/>
    <w:rsid w:val="08852948"/>
    <w:rsid w:val="0887253D"/>
    <w:rsid w:val="08887E8D"/>
    <w:rsid w:val="088B7378"/>
    <w:rsid w:val="088F3EFD"/>
    <w:rsid w:val="08901A19"/>
    <w:rsid w:val="08906A5D"/>
    <w:rsid w:val="08911134"/>
    <w:rsid w:val="08943233"/>
    <w:rsid w:val="089533FE"/>
    <w:rsid w:val="08955281"/>
    <w:rsid w:val="089A12BD"/>
    <w:rsid w:val="089A3191"/>
    <w:rsid w:val="089D5EE4"/>
    <w:rsid w:val="089E3A44"/>
    <w:rsid w:val="089F0DD0"/>
    <w:rsid w:val="08A06CAA"/>
    <w:rsid w:val="08AC299F"/>
    <w:rsid w:val="08AD2241"/>
    <w:rsid w:val="08AE51B5"/>
    <w:rsid w:val="08B10237"/>
    <w:rsid w:val="08B31D10"/>
    <w:rsid w:val="08B3500E"/>
    <w:rsid w:val="08B72FA7"/>
    <w:rsid w:val="08B80F70"/>
    <w:rsid w:val="08B92292"/>
    <w:rsid w:val="08B94C65"/>
    <w:rsid w:val="08BA0598"/>
    <w:rsid w:val="08BC0A60"/>
    <w:rsid w:val="08BD39B5"/>
    <w:rsid w:val="08BF4690"/>
    <w:rsid w:val="08C10CE0"/>
    <w:rsid w:val="08C3185F"/>
    <w:rsid w:val="08C77405"/>
    <w:rsid w:val="08C85BEB"/>
    <w:rsid w:val="08C96CD9"/>
    <w:rsid w:val="08CA47FF"/>
    <w:rsid w:val="08CD603D"/>
    <w:rsid w:val="08D03D3B"/>
    <w:rsid w:val="08D15B8E"/>
    <w:rsid w:val="08D5567E"/>
    <w:rsid w:val="08D613F6"/>
    <w:rsid w:val="08D91E83"/>
    <w:rsid w:val="08DC1C9C"/>
    <w:rsid w:val="08DD2784"/>
    <w:rsid w:val="08DF02AB"/>
    <w:rsid w:val="08E458C1"/>
    <w:rsid w:val="08EB25FC"/>
    <w:rsid w:val="08EC0C19"/>
    <w:rsid w:val="08EF7A39"/>
    <w:rsid w:val="08F061B8"/>
    <w:rsid w:val="08F256CD"/>
    <w:rsid w:val="08F37C5D"/>
    <w:rsid w:val="08F501F9"/>
    <w:rsid w:val="08F5187C"/>
    <w:rsid w:val="08F700A6"/>
    <w:rsid w:val="08FD4BD5"/>
    <w:rsid w:val="08FE0D7F"/>
    <w:rsid w:val="09001F56"/>
    <w:rsid w:val="09024A32"/>
    <w:rsid w:val="09077801"/>
    <w:rsid w:val="091343F8"/>
    <w:rsid w:val="09151257"/>
    <w:rsid w:val="09175E81"/>
    <w:rsid w:val="091A1A36"/>
    <w:rsid w:val="091D4A96"/>
    <w:rsid w:val="091F7884"/>
    <w:rsid w:val="09203E99"/>
    <w:rsid w:val="09212F6F"/>
    <w:rsid w:val="0922463B"/>
    <w:rsid w:val="092403B3"/>
    <w:rsid w:val="09292607"/>
    <w:rsid w:val="09296B5B"/>
    <w:rsid w:val="092A430E"/>
    <w:rsid w:val="092D1B96"/>
    <w:rsid w:val="092F04A2"/>
    <w:rsid w:val="092F198E"/>
    <w:rsid w:val="093143BC"/>
    <w:rsid w:val="09380E75"/>
    <w:rsid w:val="09391025"/>
    <w:rsid w:val="09393147"/>
    <w:rsid w:val="093B4E52"/>
    <w:rsid w:val="093E2FC7"/>
    <w:rsid w:val="093F51ED"/>
    <w:rsid w:val="093F6F9B"/>
    <w:rsid w:val="09402461"/>
    <w:rsid w:val="09412D13"/>
    <w:rsid w:val="094445B2"/>
    <w:rsid w:val="0946032A"/>
    <w:rsid w:val="094822F4"/>
    <w:rsid w:val="094923C1"/>
    <w:rsid w:val="094C3466"/>
    <w:rsid w:val="094E3682"/>
    <w:rsid w:val="094F0311"/>
    <w:rsid w:val="09510A7C"/>
    <w:rsid w:val="09540C99"/>
    <w:rsid w:val="09550074"/>
    <w:rsid w:val="0955056D"/>
    <w:rsid w:val="095567BF"/>
    <w:rsid w:val="095614E5"/>
    <w:rsid w:val="095872B1"/>
    <w:rsid w:val="095A2027"/>
    <w:rsid w:val="095A64D1"/>
    <w:rsid w:val="095C4294"/>
    <w:rsid w:val="095D5E41"/>
    <w:rsid w:val="095F763D"/>
    <w:rsid w:val="096719C9"/>
    <w:rsid w:val="096867B1"/>
    <w:rsid w:val="096A0761"/>
    <w:rsid w:val="096D7DA9"/>
    <w:rsid w:val="09702EBD"/>
    <w:rsid w:val="09705A89"/>
    <w:rsid w:val="0971340A"/>
    <w:rsid w:val="0972111F"/>
    <w:rsid w:val="09776840"/>
    <w:rsid w:val="097B35BA"/>
    <w:rsid w:val="097F55EA"/>
    <w:rsid w:val="098720CE"/>
    <w:rsid w:val="09877D57"/>
    <w:rsid w:val="098B21E0"/>
    <w:rsid w:val="098B2CC4"/>
    <w:rsid w:val="098C0140"/>
    <w:rsid w:val="098D12DA"/>
    <w:rsid w:val="098D6B36"/>
    <w:rsid w:val="098E2F20"/>
    <w:rsid w:val="098E6A11"/>
    <w:rsid w:val="098F111C"/>
    <w:rsid w:val="098F195C"/>
    <w:rsid w:val="098F1CD1"/>
    <w:rsid w:val="098F4C91"/>
    <w:rsid w:val="09903C9B"/>
    <w:rsid w:val="09910D59"/>
    <w:rsid w:val="09931095"/>
    <w:rsid w:val="0993748B"/>
    <w:rsid w:val="099512B1"/>
    <w:rsid w:val="099556F8"/>
    <w:rsid w:val="09957FE1"/>
    <w:rsid w:val="09975029"/>
    <w:rsid w:val="09977384"/>
    <w:rsid w:val="099866AB"/>
    <w:rsid w:val="099E49B0"/>
    <w:rsid w:val="09A036D5"/>
    <w:rsid w:val="09A45DE4"/>
    <w:rsid w:val="09A514F4"/>
    <w:rsid w:val="09A81D93"/>
    <w:rsid w:val="09AE4A37"/>
    <w:rsid w:val="09AF5ECF"/>
    <w:rsid w:val="09B07EB0"/>
    <w:rsid w:val="09B22FC6"/>
    <w:rsid w:val="09B5725D"/>
    <w:rsid w:val="09BD0527"/>
    <w:rsid w:val="09C000DC"/>
    <w:rsid w:val="09C15C02"/>
    <w:rsid w:val="09C17F15"/>
    <w:rsid w:val="09C338C6"/>
    <w:rsid w:val="09C53944"/>
    <w:rsid w:val="09C66244"/>
    <w:rsid w:val="09CB082F"/>
    <w:rsid w:val="09CB187F"/>
    <w:rsid w:val="09CB6A81"/>
    <w:rsid w:val="09CD0773"/>
    <w:rsid w:val="09CD0A4B"/>
    <w:rsid w:val="09D04097"/>
    <w:rsid w:val="09D41DD9"/>
    <w:rsid w:val="09D50AA3"/>
    <w:rsid w:val="09D65B51"/>
    <w:rsid w:val="09D678FF"/>
    <w:rsid w:val="09D82BC8"/>
    <w:rsid w:val="09DB16BD"/>
    <w:rsid w:val="09DD38C5"/>
    <w:rsid w:val="09DD3FC3"/>
    <w:rsid w:val="09DF42DA"/>
    <w:rsid w:val="09E0252C"/>
    <w:rsid w:val="09E02C77"/>
    <w:rsid w:val="09E576F9"/>
    <w:rsid w:val="09E57B43"/>
    <w:rsid w:val="09E65669"/>
    <w:rsid w:val="09E86C0F"/>
    <w:rsid w:val="09EC6FDF"/>
    <w:rsid w:val="09EC7123"/>
    <w:rsid w:val="09ED411B"/>
    <w:rsid w:val="09ED69F7"/>
    <w:rsid w:val="09EE7ED3"/>
    <w:rsid w:val="09F02334"/>
    <w:rsid w:val="09F03BE8"/>
    <w:rsid w:val="09F90492"/>
    <w:rsid w:val="09FE2D56"/>
    <w:rsid w:val="0A022DA4"/>
    <w:rsid w:val="0A037170"/>
    <w:rsid w:val="0A0644F8"/>
    <w:rsid w:val="0A090D84"/>
    <w:rsid w:val="0A0A1357"/>
    <w:rsid w:val="0A0C5718"/>
    <w:rsid w:val="0A0E39F9"/>
    <w:rsid w:val="0A0F01F4"/>
    <w:rsid w:val="0A143108"/>
    <w:rsid w:val="0A145B0D"/>
    <w:rsid w:val="0A173EF3"/>
    <w:rsid w:val="0A187F18"/>
    <w:rsid w:val="0A1B7369"/>
    <w:rsid w:val="0A1C108A"/>
    <w:rsid w:val="0A1D01CF"/>
    <w:rsid w:val="0A201F7B"/>
    <w:rsid w:val="0A2955DA"/>
    <w:rsid w:val="0A2A04F5"/>
    <w:rsid w:val="0A2F2702"/>
    <w:rsid w:val="0A2F3C4F"/>
    <w:rsid w:val="0A2F5A56"/>
    <w:rsid w:val="0A374116"/>
    <w:rsid w:val="0A391C3C"/>
    <w:rsid w:val="0A3B256A"/>
    <w:rsid w:val="0A402FCB"/>
    <w:rsid w:val="0A472C87"/>
    <w:rsid w:val="0A4800D1"/>
    <w:rsid w:val="0A4C4D0E"/>
    <w:rsid w:val="0A4E136F"/>
    <w:rsid w:val="0A510B40"/>
    <w:rsid w:val="0A540824"/>
    <w:rsid w:val="0A544CC8"/>
    <w:rsid w:val="0A5759DE"/>
    <w:rsid w:val="0A5929FF"/>
    <w:rsid w:val="0A5A6AD4"/>
    <w:rsid w:val="0A5B6057"/>
    <w:rsid w:val="0A5B7E05"/>
    <w:rsid w:val="0A5D2DCA"/>
    <w:rsid w:val="0A5F485D"/>
    <w:rsid w:val="0A605FF8"/>
    <w:rsid w:val="0A606A61"/>
    <w:rsid w:val="0A621193"/>
    <w:rsid w:val="0A652078"/>
    <w:rsid w:val="0A663DA1"/>
    <w:rsid w:val="0A685D85"/>
    <w:rsid w:val="0A696D06"/>
    <w:rsid w:val="0A6B1BF8"/>
    <w:rsid w:val="0A6E024D"/>
    <w:rsid w:val="0A700BAD"/>
    <w:rsid w:val="0A761389"/>
    <w:rsid w:val="0A764C3F"/>
    <w:rsid w:val="0A78160F"/>
    <w:rsid w:val="0A7C11F0"/>
    <w:rsid w:val="0A8305D6"/>
    <w:rsid w:val="0A837FBC"/>
    <w:rsid w:val="0A857B19"/>
    <w:rsid w:val="0A886A78"/>
    <w:rsid w:val="0A927BA5"/>
    <w:rsid w:val="0A953B58"/>
    <w:rsid w:val="0A96708F"/>
    <w:rsid w:val="0A9779B5"/>
    <w:rsid w:val="0A9E5135"/>
    <w:rsid w:val="0A9E5682"/>
    <w:rsid w:val="0A9E7B52"/>
    <w:rsid w:val="0A9F23E7"/>
    <w:rsid w:val="0AA33C46"/>
    <w:rsid w:val="0AAD70C5"/>
    <w:rsid w:val="0AAE43D8"/>
    <w:rsid w:val="0AB1640F"/>
    <w:rsid w:val="0AB677A4"/>
    <w:rsid w:val="0AB80DB3"/>
    <w:rsid w:val="0AB87005"/>
    <w:rsid w:val="0ABD1A78"/>
    <w:rsid w:val="0ABD6C0F"/>
    <w:rsid w:val="0ABF0E1F"/>
    <w:rsid w:val="0AC37758"/>
    <w:rsid w:val="0AC71657"/>
    <w:rsid w:val="0AC81569"/>
    <w:rsid w:val="0AC900AA"/>
    <w:rsid w:val="0ACC0D02"/>
    <w:rsid w:val="0ACD0AB1"/>
    <w:rsid w:val="0ACE3989"/>
    <w:rsid w:val="0ACE7FD9"/>
    <w:rsid w:val="0AD0204D"/>
    <w:rsid w:val="0AD025A1"/>
    <w:rsid w:val="0AD34255"/>
    <w:rsid w:val="0AD35BED"/>
    <w:rsid w:val="0AD656DD"/>
    <w:rsid w:val="0AD901C7"/>
    <w:rsid w:val="0ADE5947"/>
    <w:rsid w:val="0AE03629"/>
    <w:rsid w:val="0AEC4F01"/>
    <w:rsid w:val="0AEC6CAF"/>
    <w:rsid w:val="0AED1AF6"/>
    <w:rsid w:val="0AF142F0"/>
    <w:rsid w:val="0AF3628F"/>
    <w:rsid w:val="0AF36B35"/>
    <w:rsid w:val="0AF93C59"/>
    <w:rsid w:val="0AF93FE7"/>
    <w:rsid w:val="0AFA5870"/>
    <w:rsid w:val="0AFD2E0C"/>
    <w:rsid w:val="0AFF5850"/>
    <w:rsid w:val="0B0157A5"/>
    <w:rsid w:val="0B020EB7"/>
    <w:rsid w:val="0B0B66CD"/>
    <w:rsid w:val="0B0E30C9"/>
    <w:rsid w:val="0B0E56A3"/>
    <w:rsid w:val="0B1408A8"/>
    <w:rsid w:val="0B1701D0"/>
    <w:rsid w:val="0B175286"/>
    <w:rsid w:val="0B1805FD"/>
    <w:rsid w:val="0B1A1A6E"/>
    <w:rsid w:val="0B1A381C"/>
    <w:rsid w:val="0B1F5485"/>
    <w:rsid w:val="0B1F7084"/>
    <w:rsid w:val="0B204BAA"/>
    <w:rsid w:val="0B24678E"/>
    <w:rsid w:val="0B260413"/>
    <w:rsid w:val="0B275F39"/>
    <w:rsid w:val="0B310B66"/>
    <w:rsid w:val="0B333DEC"/>
    <w:rsid w:val="0B3568A8"/>
    <w:rsid w:val="0B380146"/>
    <w:rsid w:val="0B386398"/>
    <w:rsid w:val="0B417FAF"/>
    <w:rsid w:val="0B420FC5"/>
    <w:rsid w:val="0B4337CF"/>
    <w:rsid w:val="0B436BBC"/>
    <w:rsid w:val="0B442899"/>
    <w:rsid w:val="0B444D3D"/>
    <w:rsid w:val="0B4906CC"/>
    <w:rsid w:val="0B495EAF"/>
    <w:rsid w:val="0B521208"/>
    <w:rsid w:val="0B533C6B"/>
    <w:rsid w:val="0B54259C"/>
    <w:rsid w:val="0B5750F4"/>
    <w:rsid w:val="0B58735B"/>
    <w:rsid w:val="0B5A4C44"/>
    <w:rsid w:val="0B5C2086"/>
    <w:rsid w:val="0B5C3AF0"/>
    <w:rsid w:val="0B5C3E34"/>
    <w:rsid w:val="0B5F39C0"/>
    <w:rsid w:val="0B603134"/>
    <w:rsid w:val="0B61769D"/>
    <w:rsid w:val="0B626013"/>
    <w:rsid w:val="0B633415"/>
    <w:rsid w:val="0B6576B5"/>
    <w:rsid w:val="0B6E5916"/>
    <w:rsid w:val="0B727B6F"/>
    <w:rsid w:val="0B752A0F"/>
    <w:rsid w:val="0B753148"/>
    <w:rsid w:val="0B774FDF"/>
    <w:rsid w:val="0B7C0033"/>
    <w:rsid w:val="0B7C1971"/>
    <w:rsid w:val="0B7C44D7"/>
    <w:rsid w:val="0B811AED"/>
    <w:rsid w:val="0B815649"/>
    <w:rsid w:val="0B8213C1"/>
    <w:rsid w:val="0B886E3B"/>
    <w:rsid w:val="0B892750"/>
    <w:rsid w:val="0B896BF3"/>
    <w:rsid w:val="0B8C21F5"/>
    <w:rsid w:val="0B8C3FEE"/>
    <w:rsid w:val="0B8F2086"/>
    <w:rsid w:val="0B8F5482"/>
    <w:rsid w:val="0B901D30"/>
    <w:rsid w:val="0B903ADE"/>
    <w:rsid w:val="0B9238A0"/>
    <w:rsid w:val="0B927856"/>
    <w:rsid w:val="0B9428A2"/>
    <w:rsid w:val="0B9477B1"/>
    <w:rsid w:val="0B992C85"/>
    <w:rsid w:val="0B996E37"/>
    <w:rsid w:val="0B9A319F"/>
    <w:rsid w:val="0B9F6417"/>
    <w:rsid w:val="0B9F69C9"/>
    <w:rsid w:val="0BA11257"/>
    <w:rsid w:val="0BA23B9B"/>
    <w:rsid w:val="0BA62EED"/>
    <w:rsid w:val="0BA63302"/>
    <w:rsid w:val="0BA92DF2"/>
    <w:rsid w:val="0BAA54A0"/>
    <w:rsid w:val="0BAA77EF"/>
    <w:rsid w:val="0BAB0918"/>
    <w:rsid w:val="0BBB12E0"/>
    <w:rsid w:val="0BBE689D"/>
    <w:rsid w:val="0BBF2615"/>
    <w:rsid w:val="0BBF6493"/>
    <w:rsid w:val="0BC06FB9"/>
    <w:rsid w:val="0BC11EE9"/>
    <w:rsid w:val="0BC1638D"/>
    <w:rsid w:val="0BC406CE"/>
    <w:rsid w:val="0BCA1DA8"/>
    <w:rsid w:val="0BD0259D"/>
    <w:rsid w:val="0BD026C8"/>
    <w:rsid w:val="0BD274DB"/>
    <w:rsid w:val="0BD611AF"/>
    <w:rsid w:val="0BD64691"/>
    <w:rsid w:val="0BD936D7"/>
    <w:rsid w:val="0BD93FE0"/>
    <w:rsid w:val="0BD9521E"/>
    <w:rsid w:val="0BDB654C"/>
    <w:rsid w:val="0BDC4F75"/>
    <w:rsid w:val="0BE40CEA"/>
    <w:rsid w:val="0BE419F0"/>
    <w:rsid w:val="0BE519D3"/>
    <w:rsid w:val="0BE97E45"/>
    <w:rsid w:val="0BEB1A2C"/>
    <w:rsid w:val="0BEB2F38"/>
    <w:rsid w:val="0BEB51B8"/>
    <w:rsid w:val="0BEB7536"/>
    <w:rsid w:val="0BF00A21"/>
    <w:rsid w:val="0BF4406D"/>
    <w:rsid w:val="0BF61E35"/>
    <w:rsid w:val="0BFA53FB"/>
    <w:rsid w:val="0BFB48C1"/>
    <w:rsid w:val="0BFE4EEC"/>
    <w:rsid w:val="0BFE6C9A"/>
    <w:rsid w:val="0BFF0444"/>
    <w:rsid w:val="0C041071"/>
    <w:rsid w:val="0C0925D4"/>
    <w:rsid w:val="0C0D3381"/>
    <w:rsid w:val="0C0D4222"/>
    <w:rsid w:val="0C103C78"/>
    <w:rsid w:val="0C1069CD"/>
    <w:rsid w:val="0C12445C"/>
    <w:rsid w:val="0C191D25"/>
    <w:rsid w:val="0C1B2876"/>
    <w:rsid w:val="0C1B4CBB"/>
    <w:rsid w:val="0C1C4129"/>
    <w:rsid w:val="0C1D726E"/>
    <w:rsid w:val="0C1E0673"/>
    <w:rsid w:val="0C1E1D16"/>
    <w:rsid w:val="0C1E3A5D"/>
    <w:rsid w:val="0C20278C"/>
    <w:rsid w:val="0C207E9D"/>
    <w:rsid w:val="0C216EA6"/>
    <w:rsid w:val="0C22507E"/>
    <w:rsid w:val="0C2448E8"/>
    <w:rsid w:val="0C25691C"/>
    <w:rsid w:val="0C280CE2"/>
    <w:rsid w:val="0C2828A7"/>
    <w:rsid w:val="0C284D6E"/>
    <w:rsid w:val="0C2A108B"/>
    <w:rsid w:val="0C2D57D1"/>
    <w:rsid w:val="0C305D19"/>
    <w:rsid w:val="0C355829"/>
    <w:rsid w:val="0C3923C8"/>
    <w:rsid w:val="0C394176"/>
    <w:rsid w:val="0C395F24"/>
    <w:rsid w:val="0C3A0FB1"/>
    <w:rsid w:val="0C3A5AB7"/>
    <w:rsid w:val="0C3C2618"/>
    <w:rsid w:val="0C3C77C2"/>
    <w:rsid w:val="0C423C30"/>
    <w:rsid w:val="0C436DA2"/>
    <w:rsid w:val="0C447686"/>
    <w:rsid w:val="0C4A0CFA"/>
    <w:rsid w:val="0C4D2C54"/>
    <w:rsid w:val="0C4E25DA"/>
    <w:rsid w:val="0C5114BF"/>
    <w:rsid w:val="0C527C4D"/>
    <w:rsid w:val="0C53237D"/>
    <w:rsid w:val="0C5427B4"/>
    <w:rsid w:val="0C5816F7"/>
    <w:rsid w:val="0C58723E"/>
    <w:rsid w:val="0C5B233E"/>
    <w:rsid w:val="0C5D7C6A"/>
    <w:rsid w:val="0C601702"/>
    <w:rsid w:val="0C6311F3"/>
    <w:rsid w:val="0C637445"/>
    <w:rsid w:val="0C637FE0"/>
    <w:rsid w:val="0C664CF7"/>
    <w:rsid w:val="0C670CE3"/>
    <w:rsid w:val="0C684A5B"/>
    <w:rsid w:val="0C697E8E"/>
    <w:rsid w:val="0C6C38B3"/>
    <w:rsid w:val="0C7518A3"/>
    <w:rsid w:val="0C774C9E"/>
    <w:rsid w:val="0C7D22B4"/>
    <w:rsid w:val="0C7D7E39"/>
    <w:rsid w:val="0C7E4A45"/>
    <w:rsid w:val="0C7E690C"/>
    <w:rsid w:val="0C7E7DDA"/>
    <w:rsid w:val="0C7F3C6E"/>
    <w:rsid w:val="0C8143A4"/>
    <w:rsid w:val="0C8278CB"/>
    <w:rsid w:val="0C882441"/>
    <w:rsid w:val="0C8A2C23"/>
    <w:rsid w:val="0C8B492A"/>
    <w:rsid w:val="0C8E2713"/>
    <w:rsid w:val="0C8E66C1"/>
    <w:rsid w:val="0C8E6F6E"/>
    <w:rsid w:val="0C912C28"/>
    <w:rsid w:val="0C926814"/>
    <w:rsid w:val="0C9276DA"/>
    <w:rsid w:val="0C9356E6"/>
    <w:rsid w:val="0C9C64B3"/>
    <w:rsid w:val="0C9E0942"/>
    <w:rsid w:val="0C9E6B7A"/>
    <w:rsid w:val="0CA12B87"/>
    <w:rsid w:val="0CA61B23"/>
    <w:rsid w:val="0CA76347"/>
    <w:rsid w:val="0CA912FB"/>
    <w:rsid w:val="0CAB1EF0"/>
    <w:rsid w:val="0CAC3253"/>
    <w:rsid w:val="0CB00775"/>
    <w:rsid w:val="0CB0333B"/>
    <w:rsid w:val="0CB07D90"/>
    <w:rsid w:val="0CB37840"/>
    <w:rsid w:val="0CB657C6"/>
    <w:rsid w:val="0CB734F0"/>
    <w:rsid w:val="0CB90C9B"/>
    <w:rsid w:val="0CBA19B5"/>
    <w:rsid w:val="0CBD1B3E"/>
    <w:rsid w:val="0CBF3A38"/>
    <w:rsid w:val="0CC20CE9"/>
    <w:rsid w:val="0CC47EE3"/>
    <w:rsid w:val="0CC872A8"/>
    <w:rsid w:val="0CCE0D62"/>
    <w:rsid w:val="0CCE3C17"/>
    <w:rsid w:val="0CCE4B7A"/>
    <w:rsid w:val="0CD30126"/>
    <w:rsid w:val="0CD73FF0"/>
    <w:rsid w:val="0CD8573D"/>
    <w:rsid w:val="0CD92A83"/>
    <w:rsid w:val="0CE30634"/>
    <w:rsid w:val="0CE42333"/>
    <w:rsid w:val="0CE545E6"/>
    <w:rsid w:val="0CE8177A"/>
    <w:rsid w:val="0CE916F8"/>
    <w:rsid w:val="0CEA4A8C"/>
    <w:rsid w:val="0CEB1914"/>
    <w:rsid w:val="0CEC11E8"/>
    <w:rsid w:val="0CEE59BB"/>
    <w:rsid w:val="0CF602B9"/>
    <w:rsid w:val="0CF94F44"/>
    <w:rsid w:val="0CFD51A3"/>
    <w:rsid w:val="0D006A41"/>
    <w:rsid w:val="0D0429D6"/>
    <w:rsid w:val="0D046532"/>
    <w:rsid w:val="0D0504FC"/>
    <w:rsid w:val="0D053C40"/>
    <w:rsid w:val="0D091D9A"/>
    <w:rsid w:val="0D096829"/>
    <w:rsid w:val="0D0B6749"/>
    <w:rsid w:val="0D1136B2"/>
    <w:rsid w:val="0D116094"/>
    <w:rsid w:val="0D1349C7"/>
    <w:rsid w:val="0D136775"/>
    <w:rsid w:val="0D1568AE"/>
    <w:rsid w:val="0D18022F"/>
    <w:rsid w:val="0D1904BC"/>
    <w:rsid w:val="0D19681C"/>
    <w:rsid w:val="0D1D19EF"/>
    <w:rsid w:val="0D1D7659"/>
    <w:rsid w:val="0D1F15BD"/>
    <w:rsid w:val="0D222E5C"/>
    <w:rsid w:val="0D235D3A"/>
    <w:rsid w:val="0D243431"/>
    <w:rsid w:val="0D2446CC"/>
    <w:rsid w:val="0D2564A8"/>
    <w:rsid w:val="0D27067C"/>
    <w:rsid w:val="0D2C7C32"/>
    <w:rsid w:val="0D2D14EE"/>
    <w:rsid w:val="0D2E1801"/>
    <w:rsid w:val="0D2E38D7"/>
    <w:rsid w:val="0D2F3ECB"/>
    <w:rsid w:val="0D3112F1"/>
    <w:rsid w:val="0D333DBB"/>
    <w:rsid w:val="0D341E96"/>
    <w:rsid w:val="0D356891"/>
    <w:rsid w:val="0D3A5E3A"/>
    <w:rsid w:val="0D3D477C"/>
    <w:rsid w:val="0D401337"/>
    <w:rsid w:val="0D435B36"/>
    <w:rsid w:val="0D464B78"/>
    <w:rsid w:val="0D4C19F6"/>
    <w:rsid w:val="0D5042F1"/>
    <w:rsid w:val="0D522E31"/>
    <w:rsid w:val="0D531267"/>
    <w:rsid w:val="0D584ACF"/>
    <w:rsid w:val="0D5957F5"/>
    <w:rsid w:val="0D5A6456"/>
    <w:rsid w:val="0D5C509D"/>
    <w:rsid w:val="0D6214AA"/>
    <w:rsid w:val="0D6276FC"/>
    <w:rsid w:val="0D686470"/>
    <w:rsid w:val="0D6B035F"/>
    <w:rsid w:val="0D6F3CD1"/>
    <w:rsid w:val="0D72108A"/>
    <w:rsid w:val="0D747A65"/>
    <w:rsid w:val="0D760490"/>
    <w:rsid w:val="0D766D04"/>
    <w:rsid w:val="0D777F5B"/>
    <w:rsid w:val="0D7B0620"/>
    <w:rsid w:val="0D7B2283"/>
    <w:rsid w:val="0D7C07BE"/>
    <w:rsid w:val="0D7C7AC6"/>
    <w:rsid w:val="0D7D5D5F"/>
    <w:rsid w:val="0D7E6E59"/>
    <w:rsid w:val="0D814026"/>
    <w:rsid w:val="0D814DE3"/>
    <w:rsid w:val="0D817A57"/>
    <w:rsid w:val="0D821B4C"/>
    <w:rsid w:val="0D84008A"/>
    <w:rsid w:val="0D841F76"/>
    <w:rsid w:val="0D8C7B51"/>
    <w:rsid w:val="0D8F4444"/>
    <w:rsid w:val="0D922C2D"/>
    <w:rsid w:val="0D927FE1"/>
    <w:rsid w:val="0D931757"/>
    <w:rsid w:val="0D984ECC"/>
    <w:rsid w:val="0D9A0E95"/>
    <w:rsid w:val="0D9A50E8"/>
    <w:rsid w:val="0D9D02F5"/>
    <w:rsid w:val="0D9E4F02"/>
    <w:rsid w:val="0D9F5D49"/>
    <w:rsid w:val="0DA230DA"/>
    <w:rsid w:val="0DA76C70"/>
    <w:rsid w:val="0DA841E0"/>
    <w:rsid w:val="0DAB10A3"/>
    <w:rsid w:val="0DAB2B10"/>
    <w:rsid w:val="0DAB2E51"/>
    <w:rsid w:val="0DAD673B"/>
    <w:rsid w:val="0DB00467"/>
    <w:rsid w:val="0DB066B9"/>
    <w:rsid w:val="0DB3322E"/>
    <w:rsid w:val="0DB55A7E"/>
    <w:rsid w:val="0DB83A2B"/>
    <w:rsid w:val="0DB8556E"/>
    <w:rsid w:val="0DB92A7B"/>
    <w:rsid w:val="0DBA2755"/>
    <w:rsid w:val="0DBD1075"/>
    <w:rsid w:val="0DBD4932"/>
    <w:rsid w:val="0DBF2FE6"/>
    <w:rsid w:val="0DBF4373"/>
    <w:rsid w:val="0DC56745"/>
    <w:rsid w:val="0DCA1EE8"/>
    <w:rsid w:val="0DCC7572"/>
    <w:rsid w:val="0DCD5E4F"/>
    <w:rsid w:val="0DCE25C5"/>
    <w:rsid w:val="0DD00BF5"/>
    <w:rsid w:val="0DD50264"/>
    <w:rsid w:val="0DD759F4"/>
    <w:rsid w:val="0DD75F00"/>
    <w:rsid w:val="0DDA5013"/>
    <w:rsid w:val="0DDA7292"/>
    <w:rsid w:val="0DDE3227"/>
    <w:rsid w:val="0DDE62FE"/>
    <w:rsid w:val="0DE10621"/>
    <w:rsid w:val="0DE80114"/>
    <w:rsid w:val="0DE83AA8"/>
    <w:rsid w:val="0DEC55AB"/>
    <w:rsid w:val="0DEE0F90"/>
    <w:rsid w:val="0DF50570"/>
    <w:rsid w:val="0DF81ACC"/>
    <w:rsid w:val="0DFA13B1"/>
    <w:rsid w:val="0DFE4DB9"/>
    <w:rsid w:val="0E001E05"/>
    <w:rsid w:val="0E02149B"/>
    <w:rsid w:val="0E032021"/>
    <w:rsid w:val="0E032C8D"/>
    <w:rsid w:val="0E043EA9"/>
    <w:rsid w:val="0E056DC6"/>
    <w:rsid w:val="0E060087"/>
    <w:rsid w:val="0E0F7B2D"/>
    <w:rsid w:val="0E122634"/>
    <w:rsid w:val="0E1327A4"/>
    <w:rsid w:val="0E15651D"/>
    <w:rsid w:val="0E161A04"/>
    <w:rsid w:val="0E197DBB"/>
    <w:rsid w:val="0E1B0C59"/>
    <w:rsid w:val="0E1B200B"/>
    <w:rsid w:val="0E1E1875"/>
    <w:rsid w:val="0E216ABD"/>
    <w:rsid w:val="0E221D1F"/>
    <w:rsid w:val="0E230C39"/>
    <w:rsid w:val="0E252C04"/>
    <w:rsid w:val="0E285407"/>
    <w:rsid w:val="0E292A55"/>
    <w:rsid w:val="0E292F54"/>
    <w:rsid w:val="0E2D7D0A"/>
    <w:rsid w:val="0E3454E5"/>
    <w:rsid w:val="0E347B3C"/>
    <w:rsid w:val="0E384DCF"/>
    <w:rsid w:val="0E3A5408"/>
    <w:rsid w:val="0E400026"/>
    <w:rsid w:val="0E401CD3"/>
    <w:rsid w:val="0E483E0F"/>
    <w:rsid w:val="0E496650"/>
    <w:rsid w:val="0E4D713E"/>
    <w:rsid w:val="0E4E06EE"/>
    <w:rsid w:val="0E4E144D"/>
    <w:rsid w:val="0E4E4EB3"/>
    <w:rsid w:val="0E4F187E"/>
    <w:rsid w:val="0E5238ED"/>
    <w:rsid w:val="0E527F57"/>
    <w:rsid w:val="0E590AFF"/>
    <w:rsid w:val="0E5B6625"/>
    <w:rsid w:val="0E5C0E2F"/>
    <w:rsid w:val="0E613396"/>
    <w:rsid w:val="0E6179B4"/>
    <w:rsid w:val="0E626659"/>
    <w:rsid w:val="0E6359D8"/>
    <w:rsid w:val="0E686F94"/>
    <w:rsid w:val="0E707A07"/>
    <w:rsid w:val="0E72190D"/>
    <w:rsid w:val="0E72396F"/>
    <w:rsid w:val="0E741495"/>
    <w:rsid w:val="0E755B80"/>
    <w:rsid w:val="0E760156"/>
    <w:rsid w:val="0E762779"/>
    <w:rsid w:val="0E771FEC"/>
    <w:rsid w:val="0E793B5F"/>
    <w:rsid w:val="0E7C659C"/>
    <w:rsid w:val="0E7E055C"/>
    <w:rsid w:val="0E7E0566"/>
    <w:rsid w:val="0E8042A6"/>
    <w:rsid w:val="0E821FED"/>
    <w:rsid w:val="0E83792A"/>
    <w:rsid w:val="0E85621D"/>
    <w:rsid w:val="0E86701F"/>
    <w:rsid w:val="0E87191E"/>
    <w:rsid w:val="0E87566C"/>
    <w:rsid w:val="0E8823D0"/>
    <w:rsid w:val="0E8D3480"/>
    <w:rsid w:val="0E917E80"/>
    <w:rsid w:val="0E941B37"/>
    <w:rsid w:val="0E972017"/>
    <w:rsid w:val="0E986DE4"/>
    <w:rsid w:val="0E9C09EC"/>
    <w:rsid w:val="0E9C4C2B"/>
    <w:rsid w:val="0E9D5558"/>
    <w:rsid w:val="0E9E29D0"/>
    <w:rsid w:val="0E9E64C9"/>
    <w:rsid w:val="0EA21BDD"/>
    <w:rsid w:val="0EA224B0"/>
    <w:rsid w:val="0EA257F6"/>
    <w:rsid w:val="0EA31D7A"/>
    <w:rsid w:val="0EA836E4"/>
    <w:rsid w:val="0EAA496F"/>
    <w:rsid w:val="0EAC79FB"/>
    <w:rsid w:val="0EAD49A7"/>
    <w:rsid w:val="0EB62714"/>
    <w:rsid w:val="0EB715A1"/>
    <w:rsid w:val="0EB837FD"/>
    <w:rsid w:val="0EBA5ACB"/>
    <w:rsid w:val="0EC16130"/>
    <w:rsid w:val="0EC23EBB"/>
    <w:rsid w:val="0EC80BAC"/>
    <w:rsid w:val="0EC817E1"/>
    <w:rsid w:val="0EC87A33"/>
    <w:rsid w:val="0EC87DA1"/>
    <w:rsid w:val="0ECA7307"/>
    <w:rsid w:val="0ED10695"/>
    <w:rsid w:val="0ED10C2E"/>
    <w:rsid w:val="0ED218D7"/>
    <w:rsid w:val="0ED3554F"/>
    <w:rsid w:val="0ED94A99"/>
    <w:rsid w:val="0EDA2858"/>
    <w:rsid w:val="0EDB7766"/>
    <w:rsid w:val="0EDE1004"/>
    <w:rsid w:val="0EDE59B4"/>
    <w:rsid w:val="0EE35899"/>
    <w:rsid w:val="0EE3661B"/>
    <w:rsid w:val="0EE36EAE"/>
    <w:rsid w:val="0EE51F80"/>
    <w:rsid w:val="0EE7435D"/>
    <w:rsid w:val="0EEC54CF"/>
    <w:rsid w:val="0EEF08CA"/>
    <w:rsid w:val="0EEF35D3"/>
    <w:rsid w:val="0EEF4423"/>
    <w:rsid w:val="0EF30F03"/>
    <w:rsid w:val="0EF37B2C"/>
    <w:rsid w:val="0EFA0A54"/>
    <w:rsid w:val="0EFA14E6"/>
    <w:rsid w:val="0EFA4090"/>
    <w:rsid w:val="0EFB1BB6"/>
    <w:rsid w:val="0EFC128D"/>
    <w:rsid w:val="0EFD148A"/>
    <w:rsid w:val="0EFF16A6"/>
    <w:rsid w:val="0F037825"/>
    <w:rsid w:val="0F046CBD"/>
    <w:rsid w:val="0F0767AD"/>
    <w:rsid w:val="0F0942D3"/>
    <w:rsid w:val="0F0B3C53"/>
    <w:rsid w:val="0F0C4633"/>
    <w:rsid w:val="0F0D0C2F"/>
    <w:rsid w:val="0F0D3390"/>
    <w:rsid w:val="0F0D5446"/>
    <w:rsid w:val="0F0F7410"/>
    <w:rsid w:val="0F18407D"/>
    <w:rsid w:val="0F186D81"/>
    <w:rsid w:val="0F1A19CC"/>
    <w:rsid w:val="0F1D38DB"/>
    <w:rsid w:val="0F23681D"/>
    <w:rsid w:val="0F246C74"/>
    <w:rsid w:val="0F286A98"/>
    <w:rsid w:val="0F2A7BAC"/>
    <w:rsid w:val="0F2E0309"/>
    <w:rsid w:val="0F307B12"/>
    <w:rsid w:val="0F350004"/>
    <w:rsid w:val="0F352373"/>
    <w:rsid w:val="0F371C31"/>
    <w:rsid w:val="0F3841E6"/>
    <w:rsid w:val="0F3D375A"/>
    <w:rsid w:val="0F3F1AA3"/>
    <w:rsid w:val="0F4B38E4"/>
    <w:rsid w:val="0F4B633A"/>
    <w:rsid w:val="0F4C0664"/>
    <w:rsid w:val="0F52225F"/>
    <w:rsid w:val="0F53554E"/>
    <w:rsid w:val="0F5446EB"/>
    <w:rsid w:val="0F577E54"/>
    <w:rsid w:val="0F580DB7"/>
    <w:rsid w:val="0F582B65"/>
    <w:rsid w:val="0F582CD1"/>
    <w:rsid w:val="0F59068B"/>
    <w:rsid w:val="0F5D3CC9"/>
    <w:rsid w:val="0F5D50E6"/>
    <w:rsid w:val="0F5F74BD"/>
    <w:rsid w:val="0F601A19"/>
    <w:rsid w:val="0F607472"/>
    <w:rsid w:val="0F607C6B"/>
    <w:rsid w:val="0F615C1F"/>
    <w:rsid w:val="0F625621"/>
    <w:rsid w:val="0F6911E2"/>
    <w:rsid w:val="0F6B6386"/>
    <w:rsid w:val="0F6C6610"/>
    <w:rsid w:val="0F716B5B"/>
    <w:rsid w:val="0F753717"/>
    <w:rsid w:val="0F76123D"/>
    <w:rsid w:val="0F7756E1"/>
    <w:rsid w:val="0F783207"/>
    <w:rsid w:val="0F784FB5"/>
    <w:rsid w:val="0F7A0502"/>
    <w:rsid w:val="0F7B4AA5"/>
    <w:rsid w:val="0F7D081D"/>
    <w:rsid w:val="0F7D25CB"/>
    <w:rsid w:val="0F7E1188"/>
    <w:rsid w:val="0F7E62D9"/>
    <w:rsid w:val="0F7F4595"/>
    <w:rsid w:val="0F7F6343"/>
    <w:rsid w:val="0F84165B"/>
    <w:rsid w:val="0F89147D"/>
    <w:rsid w:val="0F8C07C1"/>
    <w:rsid w:val="0F8C1821"/>
    <w:rsid w:val="0F8E6586"/>
    <w:rsid w:val="0F917E25"/>
    <w:rsid w:val="0F92308B"/>
    <w:rsid w:val="0F933844"/>
    <w:rsid w:val="0F94494C"/>
    <w:rsid w:val="0F953D3A"/>
    <w:rsid w:val="0F9C3B82"/>
    <w:rsid w:val="0F9C69C5"/>
    <w:rsid w:val="0F9D2C6D"/>
    <w:rsid w:val="0F9F2F5B"/>
    <w:rsid w:val="0FA1450C"/>
    <w:rsid w:val="0FA534D1"/>
    <w:rsid w:val="0FA77648"/>
    <w:rsid w:val="0FA776D9"/>
    <w:rsid w:val="0FA87CEC"/>
    <w:rsid w:val="0FA91612"/>
    <w:rsid w:val="0FAB419E"/>
    <w:rsid w:val="0FAC300F"/>
    <w:rsid w:val="0FAD7FBA"/>
    <w:rsid w:val="0FAE09D7"/>
    <w:rsid w:val="0FAE6C29"/>
    <w:rsid w:val="0FB0474F"/>
    <w:rsid w:val="0FB30FFA"/>
    <w:rsid w:val="0FB3423F"/>
    <w:rsid w:val="0FB86925"/>
    <w:rsid w:val="0FC05E71"/>
    <w:rsid w:val="0FC17859"/>
    <w:rsid w:val="0FC63925"/>
    <w:rsid w:val="0FC71A98"/>
    <w:rsid w:val="0FC83E56"/>
    <w:rsid w:val="0FC928C3"/>
    <w:rsid w:val="0FC95811"/>
    <w:rsid w:val="0FCB3337"/>
    <w:rsid w:val="0FD3383D"/>
    <w:rsid w:val="0FD46244"/>
    <w:rsid w:val="0FD52407"/>
    <w:rsid w:val="0FD541B5"/>
    <w:rsid w:val="0FD55669"/>
    <w:rsid w:val="0FDB324E"/>
    <w:rsid w:val="0FE05A33"/>
    <w:rsid w:val="0FE12B5A"/>
    <w:rsid w:val="0FE32D76"/>
    <w:rsid w:val="0FE51D5A"/>
    <w:rsid w:val="0FE613F7"/>
    <w:rsid w:val="0FE66347"/>
    <w:rsid w:val="0FE706DD"/>
    <w:rsid w:val="0FE77428"/>
    <w:rsid w:val="0FEF625B"/>
    <w:rsid w:val="0FF20B75"/>
    <w:rsid w:val="0FF55770"/>
    <w:rsid w:val="0FF65D62"/>
    <w:rsid w:val="0FF7412C"/>
    <w:rsid w:val="0FF87CFA"/>
    <w:rsid w:val="0FFB1354"/>
    <w:rsid w:val="0FFC0435"/>
    <w:rsid w:val="0FFD2107"/>
    <w:rsid w:val="0FFF56D6"/>
    <w:rsid w:val="10002950"/>
    <w:rsid w:val="10011261"/>
    <w:rsid w:val="10014569"/>
    <w:rsid w:val="100209CD"/>
    <w:rsid w:val="10024781"/>
    <w:rsid w:val="10030D22"/>
    <w:rsid w:val="10087AAC"/>
    <w:rsid w:val="100A02F0"/>
    <w:rsid w:val="100B7BD7"/>
    <w:rsid w:val="10101691"/>
    <w:rsid w:val="10121A72"/>
    <w:rsid w:val="101368F5"/>
    <w:rsid w:val="101E3DAE"/>
    <w:rsid w:val="101F3682"/>
    <w:rsid w:val="101F5D0C"/>
    <w:rsid w:val="1024260B"/>
    <w:rsid w:val="10262C63"/>
    <w:rsid w:val="102A22C4"/>
    <w:rsid w:val="102A2A14"/>
    <w:rsid w:val="102A4267"/>
    <w:rsid w:val="102D10FB"/>
    <w:rsid w:val="103233B6"/>
    <w:rsid w:val="10327483"/>
    <w:rsid w:val="103435D2"/>
    <w:rsid w:val="10355E7D"/>
    <w:rsid w:val="10357AE2"/>
    <w:rsid w:val="103659B5"/>
    <w:rsid w:val="10376C1E"/>
    <w:rsid w:val="103A716A"/>
    <w:rsid w:val="103B185F"/>
    <w:rsid w:val="103C4234"/>
    <w:rsid w:val="103E6C10"/>
    <w:rsid w:val="10417A9D"/>
    <w:rsid w:val="10426122"/>
    <w:rsid w:val="1045133B"/>
    <w:rsid w:val="104A67C4"/>
    <w:rsid w:val="104B26C9"/>
    <w:rsid w:val="10521CAA"/>
    <w:rsid w:val="10524C52"/>
    <w:rsid w:val="10534839"/>
    <w:rsid w:val="10573290"/>
    <w:rsid w:val="10596B94"/>
    <w:rsid w:val="105A46BB"/>
    <w:rsid w:val="10606175"/>
    <w:rsid w:val="10642C76"/>
    <w:rsid w:val="106749CD"/>
    <w:rsid w:val="106C2195"/>
    <w:rsid w:val="106C3E49"/>
    <w:rsid w:val="106C5C80"/>
    <w:rsid w:val="106D45DD"/>
    <w:rsid w:val="106F49E8"/>
    <w:rsid w:val="10771EEB"/>
    <w:rsid w:val="107864D4"/>
    <w:rsid w:val="107B117E"/>
    <w:rsid w:val="107C1BAE"/>
    <w:rsid w:val="107E6D92"/>
    <w:rsid w:val="107F1037"/>
    <w:rsid w:val="1081433D"/>
    <w:rsid w:val="10831E63"/>
    <w:rsid w:val="10833C11"/>
    <w:rsid w:val="10855BDB"/>
    <w:rsid w:val="108654E8"/>
    <w:rsid w:val="108A31F2"/>
    <w:rsid w:val="108B65C0"/>
    <w:rsid w:val="108F0808"/>
    <w:rsid w:val="108F674C"/>
    <w:rsid w:val="10941156"/>
    <w:rsid w:val="10944070"/>
    <w:rsid w:val="10952E07"/>
    <w:rsid w:val="10966AFB"/>
    <w:rsid w:val="109776BD"/>
    <w:rsid w:val="109B71AD"/>
    <w:rsid w:val="109D1ACA"/>
    <w:rsid w:val="10A02A15"/>
    <w:rsid w:val="10A12E1C"/>
    <w:rsid w:val="10A255CE"/>
    <w:rsid w:val="10A615C8"/>
    <w:rsid w:val="10A65B52"/>
    <w:rsid w:val="10A86A32"/>
    <w:rsid w:val="10AD6EE0"/>
    <w:rsid w:val="10AE4C9A"/>
    <w:rsid w:val="10B6439D"/>
    <w:rsid w:val="10BA3E13"/>
    <w:rsid w:val="10BF60EB"/>
    <w:rsid w:val="10C20BDE"/>
    <w:rsid w:val="10C27E53"/>
    <w:rsid w:val="10C31666"/>
    <w:rsid w:val="10C364C5"/>
    <w:rsid w:val="10C41CEB"/>
    <w:rsid w:val="10C51F79"/>
    <w:rsid w:val="10CA2464"/>
    <w:rsid w:val="10CB3C48"/>
    <w:rsid w:val="10CC380A"/>
    <w:rsid w:val="10CC3DF5"/>
    <w:rsid w:val="10CD7F0D"/>
    <w:rsid w:val="10D05872"/>
    <w:rsid w:val="10D22287"/>
    <w:rsid w:val="10D254FB"/>
    <w:rsid w:val="10D30968"/>
    <w:rsid w:val="10D530A3"/>
    <w:rsid w:val="10D6218F"/>
    <w:rsid w:val="10DB3A4D"/>
    <w:rsid w:val="10DC30EE"/>
    <w:rsid w:val="10DE353E"/>
    <w:rsid w:val="10DE709A"/>
    <w:rsid w:val="10E11333"/>
    <w:rsid w:val="10E30C50"/>
    <w:rsid w:val="10E36DA6"/>
    <w:rsid w:val="10E36E72"/>
    <w:rsid w:val="10E53570"/>
    <w:rsid w:val="10E5667A"/>
    <w:rsid w:val="10E6628A"/>
    <w:rsid w:val="10EA0134"/>
    <w:rsid w:val="10EE429E"/>
    <w:rsid w:val="10F36FE9"/>
    <w:rsid w:val="10F50593"/>
    <w:rsid w:val="10F60887"/>
    <w:rsid w:val="10F93ED3"/>
    <w:rsid w:val="10FB3CC8"/>
    <w:rsid w:val="10FE3375"/>
    <w:rsid w:val="10FE598E"/>
    <w:rsid w:val="10FF6CD8"/>
    <w:rsid w:val="11065278"/>
    <w:rsid w:val="110821F6"/>
    <w:rsid w:val="11083A1E"/>
    <w:rsid w:val="11094D3D"/>
    <w:rsid w:val="110A634B"/>
    <w:rsid w:val="110A7E8F"/>
    <w:rsid w:val="110B1E88"/>
    <w:rsid w:val="110B7D4F"/>
    <w:rsid w:val="110E5BD1"/>
    <w:rsid w:val="110F33F5"/>
    <w:rsid w:val="111156C1"/>
    <w:rsid w:val="11163EC1"/>
    <w:rsid w:val="11172FFF"/>
    <w:rsid w:val="11180ED3"/>
    <w:rsid w:val="11185796"/>
    <w:rsid w:val="111E6E82"/>
    <w:rsid w:val="11263022"/>
    <w:rsid w:val="112847B9"/>
    <w:rsid w:val="11292A0B"/>
    <w:rsid w:val="112E0776"/>
    <w:rsid w:val="1131248D"/>
    <w:rsid w:val="113373E5"/>
    <w:rsid w:val="1134315E"/>
    <w:rsid w:val="11344B11"/>
    <w:rsid w:val="11365128"/>
    <w:rsid w:val="113766BC"/>
    <w:rsid w:val="11382C4E"/>
    <w:rsid w:val="113B5B09"/>
    <w:rsid w:val="113D64B6"/>
    <w:rsid w:val="114212B7"/>
    <w:rsid w:val="11423ACC"/>
    <w:rsid w:val="11437328"/>
    <w:rsid w:val="11450AAE"/>
    <w:rsid w:val="11495EE1"/>
    <w:rsid w:val="114A0BD3"/>
    <w:rsid w:val="114F1D45"/>
    <w:rsid w:val="11511160"/>
    <w:rsid w:val="11531836"/>
    <w:rsid w:val="11551A52"/>
    <w:rsid w:val="11567578"/>
    <w:rsid w:val="11596CFF"/>
    <w:rsid w:val="115C1832"/>
    <w:rsid w:val="115C2EBC"/>
    <w:rsid w:val="115C69D6"/>
    <w:rsid w:val="115D0C7C"/>
    <w:rsid w:val="115D26B4"/>
    <w:rsid w:val="115E6A5F"/>
    <w:rsid w:val="115F06AB"/>
    <w:rsid w:val="11673533"/>
    <w:rsid w:val="116748AB"/>
    <w:rsid w:val="116B3F1B"/>
    <w:rsid w:val="116F5B3C"/>
    <w:rsid w:val="117143B2"/>
    <w:rsid w:val="11717F0E"/>
    <w:rsid w:val="11721544"/>
    <w:rsid w:val="117417AC"/>
    <w:rsid w:val="117423E6"/>
    <w:rsid w:val="11763776"/>
    <w:rsid w:val="11771EE7"/>
    <w:rsid w:val="117E4B00"/>
    <w:rsid w:val="117F6ACF"/>
    <w:rsid w:val="118045F5"/>
    <w:rsid w:val="1181464D"/>
    <w:rsid w:val="118310C6"/>
    <w:rsid w:val="11872268"/>
    <w:rsid w:val="118B2F01"/>
    <w:rsid w:val="118F212A"/>
    <w:rsid w:val="11902A8A"/>
    <w:rsid w:val="11904838"/>
    <w:rsid w:val="11916802"/>
    <w:rsid w:val="119360D6"/>
    <w:rsid w:val="119A1F0A"/>
    <w:rsid w:val="119A6F75"/>
    <w:rsid w:val="119F1C28"/>
    <w:rsid w:val="11A20BB7"/>
    <w:rsid w:val="11A2350C"/>
    <w:rsid w:val="11A3229A"/>
    <w:rsid w:val="11A45B40"/>
    <w:rsid w:val="11A958FA"/>
    <w:rsid w:val="11AA7AB7"/>
    <w:rsid w:val="11AC31FB"/>
    <w:rsid w:val="11B00A36"/>
    <w:rsid w:val="11B02A34"/>
    <w:rsid w:val="11B03394"/>
    <w:rsid w:val="11B03BDD"/>
    <w:rsid w:val="11B40C4F"/>
    <w:rsid w:val="11B4695E"/>
    <w:rsid w:val="11B5429E"/>
    <w:rsid w:val="11BA697A"/>
    <w:rsid w:val="11BB73DB"/>
    <w:rsid w:val="11BE6247"/>
    <w:rsid w:val="11C004AA"/>
    <w:rsid w:val="11C942A5"/>
    <w:rsid w:val="11CB3AC2"/>
    <w:rsid w:val="11CB7C08"/>
    <w:rsid w:val="11D165AF"/>
    <w:rsid w:val="11D31A03"/>
    <w:rsid w:val="11D63897"/>
    <w:rsid w:val="11D80AC0"/>
    <w:rsid w:val="11D81D3B"/>
    <w:rsid w:val="11D87F8D"/>
    <w:rsid w:val="11D927F2"/>
    <w:rsid w:val="11DB0F09"/>
    <w:rsid w:val="11DD6017"/>
    <w:rsid w:val="11DF131B"/>
    <w:rsid w:val="11DF2716"/>
    <w:rsid w:val="11E138D7"/>
    <w:rsid w:val="11E318D8"/>
    <w:rsid w:val="11E3642A"/>
    <w:rsid w:val="11E50D38"/>
    <w:rsid w:val="11E6017F"/>
    <w:rsid w:val="11E64458"/>
    <w:rsid w:val="11EB524A"/>
    <w:rsid w:val="11ED01E3"/>
    <w:rsid w:val="11EE5E73"/>
    <w:rsid w:val="11F12DFD"/>
    <w:rsid w:val="11F155A3"/>
    <w:rsid w:val="11FB1334"/>
    <w:rsid w:val="11FD1853"/>
    <w:rsid w:val="11FF19BD"/>
    <w:rsid w:val="12011292"/>
    <w:rsid w:val="1206631D"/>
    <w:rsid w:val="120839E6"/>
    <w:rsid w:val="120A046D"/>
    <w:rsid w:val="120F431F"/>
    <w:rsid w:val="12102606"/>
    <w:rsid w:val="12103BCB"/>
    <w:rsid w:val="1213426D"/>
    <w:rsid w:val="121539EC"/>
    <w:rsid w:val="12176D07"/>
    <w:rsid w:val="1219060F"/>
    <w:rsid w:val="121A2353"/>
    <w:rsid w:val="12211934"/>
    <w:rsid w:val="12217B86"/>
    <w:rsid w:val="12260304"/>
    <w:rsid w:val="12267AD6"/>
    <w:rsid w:val="12274A70"/>
    <w:rsid w:val="122C7C3D"/>
    <w:rsid w:val="122D6F5C"/>
    <w:rsid w:val="122F18D1"/>
    <w:rsid w:val="122F74DD"/>
    <w:rsid w:val="1230244B"/>
    <w:rsid w:val="1232568C"/>
    <w:rsid w:val="123453E6"/>
    <w:rsid w:val="123478B9"/>
    <w:rsid w:val="12353138"/>
    <w:rsid w:val="12354DC5"/>
    <w:rsid w:val="12356B7E"/>
    <w:rsid w:val="12441A89"/>
    <w:rsid w:val="12445622"/>
    <w:rsid w:val="124473D0"/>
    <w:rsid w:val="12492825"/>
    <w:rsid w:val="124A32D1"/>
    <w:rsid w:val="124B5D2C"/>
    <w:rsid w:val="1251570D"/>
    <w:rsid w:val="12540EC2"/>
    <w:rsid w:val="12571DE0"/>
    <w:rsid w:val="12597320"/>
    <w:rsid w:val="125A2B3F"/>
    <w:rsid w:val="125B1019"/>
    <w:rsid w:val="125B4462"/>
    <w:rsid w:val="125B6435"/>
    <w:rsid w:val="125C5FF9"/>
    <w:rsid w:val="125E66E4"/>
    <w:rsid w:val="125F245C"/>
    <w:rsid w:val="125F72C4"/>
    <w:rsid w:val="1262479A"/>
    <w:rsid w:val="12633CFA"/>
    <w:rsid w:val="12634E7E"/>
    <w:rsid w:val="1267383B"/>
    <w:rsid w:val="126857B5"/>
    <w:rsid w:val="12686E91"/>
    <w:rsid w:val="126A3CFD"/>
    <w:rsid w:val="126C329A"/>
    <w:rsid w:val="126D1B8E"/>
    <w:rsid w:val="126F609B"/>
    <w:rsid w:val="12706417"/>
    <w:rsid w:val="12707E3B"/>
    <w:rsid w:val="12710E53"/>
    <w:rsid w:val="12712489"/>
    <w:rsid w:val="12751271"/>
    <w:rsid w:val="127B3D1F"/>
    <w:rsid w:val="127B5307"/>
    <w:rsid w:val="127E32D4"/>
    <w:rsid w:val="12813DFF"/>
    <w:rsid w:val="12843C71"/>
    <w:rsid w:val="12851EC3"/>
    <w:rsid w:val="12866483"/>
    <w:rsid w:val="128959A9"/>
    <w:rsid w:val="128B4FFF"/>
    <w:rsid w:val="128B5D55"/>
    <w:rsid w:val="128D0D77"/>
    <w:rsid w:val="128D7348"/>
    <w:rsid w:val="129022F2"/>
    <w:rsid w:val="1292638E"/>
    <w:rsid w:val="12962A8F"/>
    <w:rsid w:val="12967486"/>
    <w:rsid w:val="12997162"/>
    <w:rsid w:val="129C545E"/>
    <w:rsid w:val="129C6673"/>
    <w:rsid w:val="129E1012"/>
    <w:rsid w:val="129E4D32"/>
    <w:rsid w:val="12A15E95"/>
    <w:rsid w:val="12A165D1"/>
    <w:rsid w:val="12A37588"/>
    <w:rsid w:val="12A63301"/>
    <w:rsid w:val="12AA0397"/>
    <w:rsid w:val="12AA36D7"/>
    <w:rsid w:val="12AB2CA4"/>
    <w:rsid w:val="12AB56A1"/>
    <w:rsid w:val="12AC38F3"/>
    <w:rsid w:val="12B26A30"/>
    <w:rsid w:val="12B5395A"/>
    <w:rsid w:val="12B91B6C"/>
    <w:rsid w:val="12BA50DA"/>
    <w:rsid w:val="12BB5BD2"/>
    <w:rsid w:val="12BB7D85"/>
    <w:rsid w:val="12BF360E"/>
    <w:rsid w:val="12C10A21"/>
    <w:rsid w:val="12C20AC0"/>
    <w:rsid w:val="12C624DB"/>
    <w:rsid w:val="12C64289"/>
    <w:rsid w:val="12C81DAF"/>
    <w:rsid w:val="12C97866"/>
    <w:rsid w:val="12CC3371"/>
    <w:rsid w:val="12CC41CB"/>
    <w:rsid w:val="12CF6F8F"/>
    <w:rsid w:val="12D06EB6"/>
    <w:rsid w:val="12D13735"/>
    <w:rsid w:val="12D347ED"/>
    <w:rsid w:val="12D40754"/>
    <w:rsid w:val="12D60970"/>
    <w:rsid w:val="12D70831"/>
    <w:rsid w:val="12D746E8"/>
    <w:rsid w:val="12D76F4C"/>
    <w:rsid w:val="12D90460"/>
    <w:rsid w:val="12D9220E"/>
    <w:rsid w:val="12DC7C6A"/>
    <w:rsid w:val="12E36BE9"/>
    <w:rsid w:val="12E3746B"/>
    <w:rsid w:val="12E7492B"/>
    <w:rsid w:val="12EA25C0"/>
    <w:rsid w:val="12EA7F78"/>
    <w:rsid w:val="12EB27FB"/>
    <w:rsid w:val="12EF7F14"/>
    <w:rsid w:val="12F203B2"/>
    <w:rsid w:val="12F232D0"/>
    <w:rsid w:val="12F47C98"/>
    <w:rsid w:val="12F60437"/>
    <w:rsid w:val="12F83C82"/>
    <w:rsid w:val="12F86B39"/>
    <w:rsid w:val="12F928B1"/>
    <w:rsid w:val="1305241F"/>
    <w:rsid w:val="1309525E"/>
    <w:rsid w:val="130A74C3"/>
    <w:rsid w:val="130B44F2"/>
    <w:rsid w:val="130C7F9A"/>
    <w:rsid w:val="130F60A2"/>
    <w:rsid w:val="13115B3A"/>
    <w:rsid w:val="131274CE"/>
    <w:rsid w:val="13177246"/>
    <w:rsid w:val="13196743"/>
    <w:rsid w:val="131A0986"/>
    <w:rsid w:val="131B45D5"/>
    <w:rsid w:val="131E3832"/>
    <w:rsid w:val="132253FD"/>
    <w:rsid w:val="13284B0B"/>
    <w:rsid w:val="1329011E"/>
    <w:rsid w:val="132C0590"/>
    <w:rsid w:val="132C1A64"/>
    <w:rsid w:val="132C67E2"/>
    <w:rsid w:val="132E21CE"/>
    <w:rsid w:val="13301C75"/>
    <w:rsid w:val="13315BA7"/>
    <w:rsid w:val="133621F7"/>
    <w:rsid w:val="133824C0"/>
    <w:rsid w:val="133E2095"/>
    <w:rsid w:val="134578A4"/>
    <w:rsid w:val="134A0A16"/>
    <w:rsid w:val="134A4EBA"/>
    <w:rsid w:val="134A5C04"/>
    <w:rsid w:val="134F61A7"/>
    <w:rsid w:val="135128EA"/>
    <w:rsid w:val="13540C1E"/>
    <w:rsid w:val="1356560D"/>
    <w:rsid w:val="13566096"/>
    <w:rsid w:val="13577E6B"/>
    <w:rsid w:val="135D1A2F"/>
    <w:rsid w:val="13605DAE"/>
    <w:rsid w:val="13625F0D"/>
    <w:rsid w:val="13655918"/>
    <w:rsid w:val="13683250"/>
    <w:rsid w:val="136A2E67"/>
    <w:rsid w:val="136D537D"/>
    <w:rsid w:val="13706DC4"/>
    <w:rsid w:val="1370765E"/>
    <w:rsid w:val="13744DE5"/>
    <w:rsid w:val="13750A9E"/>
    <w:rsid w:val="13765CAF"/>
    <w:rsid w:val="13775B98"/>
    <w:rsid w:val="137D1989"/>
    <w:rsid w:val="137D29D3"/>
    <w:rsid w:val="137E51C9"/>
    <w:rsid w:val="13871C6A"/>
    <w:rsid w:val="13882580"/>
    <w:rsid w:val="138A0BB7"/>
    <w:rsid w:val="138A175B"/>
    <w:rsid w:val="138D37B0"/>
    <w:rsid w:val="138F0ADB"/>
    <w:rsid w:val="13926776"/>
    <w:rsid w:val="13945DAF"/>
    <w:rsid w:val="13966C49"/>
    <w:rsid w:val="139A3B43"/>
    <w:rsid w:val="139B2A31"/>
    <w:rsid w:val="139B3399"/>
    <w:rsid w:val="139B6390"/>
    <w:rsid w:val="139C65D5"/>
    <w:rsid w:val="139F5206"/>
    <w:rsid w:val="13A7230D"/>
    <w:rsid w:val="13A74280"/>
    <w:rsid w:val="13A9398F"/>
    <w:rsid w:val="13AB6065"/>
    <w:rsid w:val="13AE4C28"/>
    <w:rsid w:val="13AE5449"/>
    <w:rsid w:val="13AF2F6F"/>
    <w:rsid w:val="13B23D32"/>
    <w:rsid w:val="13B35DEE"/>
    <w:rsid w:val="13B44A8A"/>
    <w:rsid w:val="13BA1693"/>
    <w:rsid w:val="13BB65D9"/>
    <w:rsid w:val="13BD38DE"/>
    <w:rsid w:val="13C00AE4"/>
    <w:rsid w:val="13C05939"/>
    <w:rsid w:val="13C1629D"/>
    <w:rsid w:val="13C30802"/>
    <w:rsid w:val="13C3648D"/>
    <w:rsid w:val="13C50E26"/>
    <w:rsid w:val="13CB7BC6"/>
    <w:rsid w:val="13CE2E73"/>
    <w:rsid w:val="13D46783"/>
    <w:rsid w:val="13D529D6"/>
    <w:rsid w:val="13D604FC"/>
    <w:rsid w:val="13D84738"/>
    <w:rsid w:val="13DA623E"/>
    <w:rsid w:val="13DA7FEC"/>
    <w:rsid w:val="13DF63D4"/>
    <w:rsid w:val="13E001FD"/>
    <w:rsid w:val="13E13A8A"/>
    <w:rsid w:val="13E1581F"/>
    <w:rsid w:val="13E2277A"/>
    <w:rsid w:val="13E23D3D"/>
    <w:rsid w:val="13E43F75"/>
    <w:rsid w:val="13E76BAD"/>
    <w:rsid w:val="13EC377E"/>
    <w:rsid w:val="13ED5648"/>
    <w:rsid w:val="13EE3A9D"/>
    <w:rsid w:val="13EE6AF0"/>
    <w:rsid w:val="13EF0665"/>
    <w:rsid w:val="13F008B4"/>
    <w:rsid w:val="13F11368"/>
    <w:rsid w:val="13F310AE"/>
    <w:rsid w:val="13F54E26"/>
    <w:rsid w:val="13F56BD4"/>
    <w:rsid w:val="13F6294C"/>
    <w:rsid w:val="13F6449D"/>
    <w:rsid w:val="13F964E2"/>
    <w:rsid w:val="13FD017F"/>
    <w:rsid w:val="14004D8E"/>
    <w:rsid w:val="14005579"/>
    <w:rsid w:val="14020E55"/>
    <w:rsid w:val="14071E37"/>
    <w:rsid w:val="140B289C"/>
    <w:rsid w:val="14106ABF"/>
    <w:rsid w:val="14131219"/>
    <w:rsid w:val="141A2ADF"/>
    <w:rsid w:val="141B23B3"/>
    <w:rsid w:val="141E7604"/>
    <w:rsid w:val="14210CB4"/>
    <w:rsid w:val="14237BE5"/>
    <w:rsid w:val="14242680"/>
    <w:rsid w:val="142474B9"/>
    <w:rsid w:val="14264FE0"/>
    <w:rsid w:val="14280514"/>
    <w:rsid w:val="14292D22"/>
    <w:rsid w:val="1429667F"/>
    <w:rsid w:val="14302302"/>
    <w:rsid w:val="14305E5E"/>
    <w:rsid w:val="14353475"/>
    <w:rsid w:val="14364B5D"/>
    <w:rsid w:val="14366ED6"/>
    <w:rsid w:val="143879A5"/>
    <w:rsid w:val="143A6CDD"/>
    <w:rsid w:val="143D2F30"/>
    <w:rsid w:val="1440654B"/>
    <w:rsid w:val="1441006B"/>
    <w:rsid w:val="144D6A10"/>
    <w:rsid w:val="145078CC"/>
    <w:rsid w:val="1451323F"/>
    <w:rsid w:val="14515322"/>
    <w:rsid w:val="14583706"/>
    <w:rsid w:val="145B062C"/>
    <w:rsid w:val="145C4EA5"/>
    <w:rsid w:val="145E0C1D"/>
    <w:rsid w:val="145E6E6F"/>
    <w:rsid w:val="145F04F1"/>
    <w:rsid w:val="145F6743"/>
    <w:rsid w:val="146016A3"/>
    <w:rsid w:val="146070AE"/>
    <w:rsid w:val="14641B8A"/>
    <w:rsid w:val="14646D37"/>
    <w:rsid w:val="146B333A"/>
    <w:rsid w:val="14704FA2"/>
    <w:rsid w:val="147321EF"/>
    <w:rsid w:val="14776F2C"/>
    <w:rsid w:val="147D6BCA"/>
    <w:rsid w:val="147E12BF"/>
    <w:rsid w:val="147F0471"/>
    <w:rsid w:val="147F1FB5"/>
    <w:rsid w:val="147F1FDE"/>
    <w:rsid w:val="147F7870"/>
    <w:rsid w:val="1481596C"/>
    <w:rsid w:val="148166BA"/>
    <w:rsid w:val="14832539"/>
    <w:rsid w:val="14861F22"/>
    <w:rsid w:val="14876F1F"/>
    <w:rsid w:val="14896762"/>
    <w:rsid w:val="148A0070"/>
    <w:rsid w:val="148C37DD"/>
    <w:rsid w:val="148D75EB"/>
    <w:rsid w:val="148E66CE"/>
    <w:rsid w:val="14900FF3"/>
    <w:rsid w:val="1490279A"/>
    <w:rsid w:val="14920367"/>
    <w:rsid w:val="1492101E"/>
    <w:rsid w:val="1497412F"/>
    <w:rsid w:val="14975EDD"/>
    <w:rsid w:val="14983A03"/>
    <w:rsid w:val="149846AD"/>
    <w:rsid w:val="149B38DC"/>
    <w:rsid w:val="149C04E8"/>
    <w:rsid w:val="14A07469"/>
    <w:rsid w:val="14A26899"/>
    <w:rsid w:val="14A405FA"/>
    <w:rsid w:val="14A44C48"/>
    <w:rsid w:val="14A5684C"/>
    <w:rsid w:val="14A82126"/>
    <w:rsid w:val="14AD5701"/>
    <w:rsid w:val="14AF1479"/>
    <w:rsid w:val="14AF6D89"/>
    <w:rsid w:val="14B00D4D"/>
    <w:rsid w:val="14B01A5D"/>
    <w:rsid w:val="14B042E9"/>
    <w:rsid w:val="14B058DE"/>
    <w:rsid w:val="14B32491"/>
    <w:rsid w:val="14B3630E"/>
    <w:rsid w:val="14B46A8F"/>
    <w:rsid w:val="14B53FC0"/>
    <w:rsid w:val="14B7657F"/>
    <w:rsid w:val="14B86861"/>
    <w:rsid w:val="14B95E54"/>
    <w:rsid w:val="14BF4AD8"/>
    <w:rsid w:val="14BF5434"/>
    <w:rsid w:val="14C667C2"/>
    <w:rsid w:val="14C8253B"/>
    <w:rsid w:val="14CF5677"/>
    <w:rsid w:val="14D62EA9"/>
    <w:rsid w:val="14D662FD"/>
    <w:rsid w:val="14DA0B6D"/>
    <w:rsid w:val="14DD280C"/>
    <w:rsid w:val="14DE0063"/>
    <w:rsid w:val="14DE1D5E"/>
    <w:rsid w:val="14DF53CE"/>
    <w:rsid w:val="14E153AA"/>
    <w:rsid w:val="14EA24B1"/>
    <w:rsid w:val="14EB4DC5"/>
    <w:rsid w:val="14EC70AF"/>
    <w:rsid w:val="14ED1FA1"/>
    <w:rsid w:val="14ED3A5E"/>
    <w:rsid w:val="14EF02EA"/>
    <w:rsid w:val="14EF578D"/>
    <w:rsid w:val="14F138E4"/>
    <w:rsid w:val="14F2342A"/>
    <w:rsid w:val="14F3024A"/>
    <w:rsid w:val="14F47EF9"/>
    <w:rsid w:val="14FB0B02"/>
    <w:rsid w:val="14FB646C"/>
    <w:rsid w:val="14FF6702"/>
    <w:rsid w:val="15026D53"/>
    <w:rsid w:val="15037C91"/>
    <w:rsid w:val="15040A83"/>
    <w:rsid w:val="150F0169"/>
    <w:rsid w:val="150F1585"/>
    <w:rsid w:val="15103F87"/>
    <w:rsid w:val="1510754D"/>
    <w:rsid w:val="15112AE6"/>
    <w:rsid w:val="151242E9"/>
    <w:rsid w:val="15131F13"/>
    <w:rsid w:val="151519F8"/>
    <w:rsid w:val="151614F8"/>
    <w:rsid w:val="15181B26"/>
    <w:rsid w:val="15192A7B"/>
    <w:rsid w:val="151B6B0E"/>
    <w:rsid w:val="151D132D"/>
    <w:rsid w:val="151D24A3"/>
    <w:rsid w:val="151D3205"/>
    <w:rsid w:val="15205AC9"/>
    <w:rsid w:val="15225359"/>
    <w:rsid w:val="15237771"/>
    <w:rsid w:val="15242B84"/>
    <w:rsid w:val="15284D87"/>
    <w:rsid w:val="152B4878"/>
    <w:rsid w:val="152D00B9"/>
    <w:rsid w:val="152F4368"/>
    <w:rsid w:val="153048B0"/>
    <w:rsid w:val="153460F9"/>
    <w:rsid w:val="1537321C"/>
    <w:rsid w:val="15373CF1"/>
    <w:rsid w:val="153876C0"/>
    <w:rsid w:val="153B0F5F"/>
    <w:rsid w:val="153B62BF"/>
    <w:rsid w:val="153C7B1E"/>
    <w:rsid w:val="153E20D9"/>
    <w:rsid w:val="153F1967"/>
    <w:rsid w:val="15412F8D"/>
    <w:rsid w:val="15436065"/>
    <w:rsid w:val="15451DDD"/>
    <w:rsid w:val="1545735C"/>
    <w:rsid w:val="15474553"/>
    <w:rsid w:val="15477903"/>
    <w:rsid w:val="15482054"/>
    <w:rsid w:val="154B6AEA"/>
    <w:rsid w:val="154C4F1A"/>
    <w:rsid w:val="154D2A40"/>
    <w:rsid w:val="154E33F7"/>
    <w:rsid w:val="154F2089"/>
    <w:rsid w:val="15506DF4"/>
    <w:rsid w:val="155344FA"/>
    <w:rsid w:val="15535D43"/>
    <w:rsid w:val="15545B7C"/>
    <w:rsid w:val="1555473A"/>
    <w:rsid w:val="1556050B"/>
    <w:rsid w:val="155B0F32"/>
    <w:rsid w:val="155B515D"/>
    <w:rsid w:val="156009C5"/>
    <w:rsid w:val="15604521"/>
    <w:rsid w:val="1562473D"/>
    <w:rsid w:val="156625BF"/>
    <w:rsid w:val="156C55DD"/>
    <w:rsid w:val="156E3949"/>
    <w:rsid w:val="156F0C08"/>
    <w:rsid w:val="157034AA"/>
    <w:rsid w:val="15774D91"/>
    <w:rsid w:val="15794E75"/>
    <w:rsid w:val="157B5DCD"/>
    <w:rsid w:val="157E5F6F"/>
    <w:rsid w:val="15805F9A"/>
    <w:rsid w:val="1581005C"/>
    <w:rsid w:val="15865C3C"/>
    <w:rsid w:val="158C3934"/>
    <w:rsid w:val="158F3A82"/>
    <w:rsid w:val="159179A3"/>
    <w:rsid w:val="15930900"/>
    <w:rsid w:val="15962D44"/>
    <w:rsid w:val="1598015F"/>
    <w:rsid w:val="159B4FC2"/>
    <w:rsid w:val="159B7598"/>
    <w:rsid w:val="159D5775"/>
    <w:rsid w:val="159F32FE"/>
    <w:rsid w:val="15A07014"/>
    <w:rsid w:val="15A24B3A"/>
    <w:rsid w:val="15A308B2"/>
    <w:rsid w:val="15A31BDC"/>
    <w:rsid w:val="15A75D94"/>
    <w:rsid w:val="15A84456"/>
    <w:rsid w:val="15AA29C6"/>
    <w:rsid w:val="15B036FB"/>
    <w:rsid w:val="15B50D11"/>
    <w:rsid w:val="15BA0027"/>
    <w:rsid w:val="15BA1EC2"/>
    <w:rsid w:val="15C01464"/>
    <w:rsid w:val="15C076B6"/>
    <w:rsid w:val="15C16067"/>
    <w:rsid w:val="15C26F8A"/>
    <w:rsid w:val="15C50828"/>
    <w:rsid w:val="15C560DF"/>
    <w:rsid w:val="15C727F2"/>
    <w:rsid w:val="15C72A4F"/>
    <w:rsid w:val="15C84EFD"/>
    <w:rsid w:val="15C965F8"/>
    <w:rsid w:val="15CA5E3E"/>
    <w:rsid w:val="15CB41CE"/>
    <w:rsid w:val="15CE1DD3"/>
    <w:rsid w:val="15CF3FDF"/>
    <w:rsid w:val="15D1043A"/>
    <w:rsid w:val="15D60C87"/>
    <w:rsid w:val="15DB1228"/>
    <w:rsid w:val="15DF6E62"/>
    <w:rsid w:val="15E025B1"/>
    <w:rsid w:val="15E61905"/>
    <w:rsid w:val="15E770DE"/>
    <w:rsid w:val="15EA028F"/>
    <w:rsid w:val="15EB7891"/>
    <w:rsid w:val="15F01D49"/>
    <w:rsid w:val="15F05B33"/>
    <w:rsid w:val="15F3323C"/>
    <w:rsid w:val="15F43A97"/>
    <w:rsid w:val="15F47354"/>
    <w:rsid w:val="15F5735F"/>
    <w:rsid w:val="15F81AD3"/>
    <w:rsid w:val="15F82AD1"/>
    <w:rsid w:val="15F86E50"/>
    <w:rsid w:val="15F966A3"/>
    <w:rsid w:val="15FB249C"/>
    <w:rsid w:val="15FB2C16"/>
    <w:rsid w:val="16005D04"/>
    <w:rsid w:val="160752E5"/>
    <w:rsid w:val="16080376"/>
    <w:rsid w:val="160D098F"/>
    <w:rsid w:val="16113A6D"/>
    <w:rsid w:val="161377E5"/>
    <w:rsid w:val="16185522"/>
    <w:rsid w:val="161C0D90"/>
    <w:rsid w:val="161E528B"/>
    <w:rsid w:val="161E5F8D"/>
    <w:rsid w:val="161F56F7"/>
    <w:rsid w:val="16260B4A"/>
    <w:rsid w:val="162639BD"/>
    <w:rsid w:val="16290882"/>
    <w:rsid w:val="1629143E"/>
    <w:rsid w:val="1629525B"/>
    <w:rsid w:val="162B3F5E"/>
    <w:rsid w:val="162C6452"/>
    <w:rsid w:val="162E2FBC"/>
    <w:rsid w:val="16302145"/>
    <w:rsid w:val="16353C00"/>
    <w:rsid w:val="163836F0"/>
    <w:rsid w:val="163A7B8D"/>
    <w:rsid w:val="163D4862"/>
    <w:rsid w:val="164200CB"/>
    <w:rsid w:val="16434434"/>
    <w:rsid w:val="16446E8C"/>
    <w:rsid w:val="16482E57"/>
    <w:rsid w:val="16493207"/>
    <w:rsid w:val="164D1813"/>
    <w:rsid w:val="164E081E"/>
    <w:rsid w:val="16573B76"/>
    <w:rsid w:val="1658650D"/>
    <w:rsid w:val="165F59B4"/>
    <w:rsid w:val="166053F5"/>
    <w:rsid w:val="16612C47"/>
    <w:rsid w:val="166149F5"/>
    <w:rsid w:val="16626D68"/>
    <w:rsid w:val="1666025D"/>
    <w:rsid w:val="16663DB9"/>
    <w:rsid w:val="166A10B5"/>
    <w:rsid w:val="166D3B5E"/>
    <w:rsid w:val="16710319"/>
    <w:rsid w:val="16740B04"/>
    <w:rsid w:val="16745620"/>
    <w:rsid w:val="167500F7"/>
    <w:rsid w:val="16783AEC"/>
    <w:rsid w:val="167C1AF9"/>
    <w:rsid w:val="167F0B3A"/>
    <w:rsid w:val="167F2412"/>
    <w:rsid w:val="16836E76"/>
    <w:rsid w:val="1686445B"/>
    <w:rsid w:val="16876EDF"/>
    <w:rsid w:val="16922719"/>
    <w:rsid w:val="16930926"/>
    <w:rsid w:val="169A16B1"/>
    <w:rsid w:val="169F1079"/>
    <w:rsid w:val="16A15587"/>
    <w:rsid w:val="16A17798"/>
    <w:rsid w:val="16A25B1B"/>
    <w:rsid w:val="16A2786B"/>
    <w:rsid w:val="16A843D2"/>
    <w:rsid w:val="16AC3628"/>
    <w:rsid w:val="16AD2835"/>
    <w:rsid w:val="16AD5F82"/>
    <w:rsid w:val="16AE6C60"/>
    <w:rsid w:val="16B251FE"/>
    <w:rsid w:val="16B56AEF"/>
    <w:rsid w:val="16B6462A"/>
    <w:rsid w:val="16B64B23"/>
    <w:rsid w:val="16B74164"/>
    <w:rsid w:val="16BC67F7"/>
    <w:rsid w:val="16BF1F30"/>
    <w:rsid w:val="16BF34C9"/>
    <w:rsid w:val="16C3745D"/>
    <w:rsid w:val="16C44F84"/>
    <w:rsid w:val="16C805D0"/>
    <w:rsid w:val="16C83E74"/>
    <w:rsid w:val="16C91A60"/>
    <w:rsid w:val="16CE5A43"/>
    <w:rsid w:val="16D324A1"/>
    <w:rsid w:val="16D51786"/>
    <w:rsid w:val="16D57191"/>
    <w:rsid w:val="16D734AA"/>
    <w:rsid w:val="16D82273"/>
    <w:rsid w:val="16DD0170"/>
    <w:rsid w:val="16E43933"/>
    <w:rsid w:val="16E466FB"/>
    <w:rsid w:val="16E56E2F"/>
    <w:rsid w:val="16E64EFA"/>
    <w:rsid w:val="16EA49EA"/>
    <w:rsid w:val="16EB0762"/>
    <w:rsid w:val="16F0045F"/>
    <w:rsid w:val="16F3506D"/>
    <w:rsid w:val="16F37E9A"/>
    <w:rsid w:val="16F5581B"/>
    <w:rsid w:val="16F72C63"/>
    <w:rsid w:val="16FB6BF7"/>
    <w:rsid w:val="16FC1E9C"/>
    <w:rsid w:val="16FC64CC"/>
    <w:rsid w:val="16FD507A"/>
    <w:rsid w:val="16FE2244"/>
    <w:rsid w:val="17011D34"/>
    <w:rsid w:val="170443B0"/>
    <w:rsid w:val="170535D2"/>
    <w:rsid w:val="17076DF7"/>
    <w:rsid w:val="170A0BE8"/>
    <w:rsid w:val="170A6E3A"/>
    <w:rsid w:val="170B2979"/>
    <w:rsid w:val="170B4961"/>
    <w:rsid w:val="170D2487"/>
    <w:rsid w:val="170F26A3"/>
    <w:rsid w:val="1711070D"/>
    <w:rsid w:val="17140673"/>
    <w:rsid w:val="17143815"/>
    <w:rsid w:val="17154F70"/>
    <w:rsid w:val="171657DF"/>
    <w:rsid w:val="171750B3"/>
    <w:rsid w:val="171F67D1"/>
    <w:rsid w:val="17237EFC"/>
    <w:rsid w:val="17264787"/>
    <w:rsid w:val="172779EC"/>
    <w:rsid w:val="17285513"/>
    <w:rsid w:val="1729397B"/>
    <w:rsid w:val="17295234"/>
    <w:rsid w:val="172C7D94"/>
    <w:rsid w:val="173309DE"/>
    <w:rsid w:val="17343EB7"/>
    <w:rsid w:val="17366033"/>
    <w:rsid w:val="173C0FBE"/>
    <w:rsid w:val="173C2D6C"/>
    <w:rsid w:val="173C5BF8"/>
    <w:rsid w:val="17417784"/>
    <w:rsid w:val="1743180D"/>
    <w:rsid w:val="174329DC"/>
    <w:rsid w:val="17493A38"/>
    <w:rsid w:val="174A5489"/>
    <w:rsid w:val="174D31CB"/>
    <w:rsid w:val="17507B92"/>
    <w:rsid w:val="175207E1"/>
    <w:rsid w:val="175400B6"/>
    <w:rsid w:val="175468D6"/>
    <w:rsid w:val="17574D0E"/>
    <w:rsid w:val="17577BA6"/>
    <w:rsid w:val="17591B70"/>
    <w:rsid w:val="175B05DD"/>
    <w:rsid w:val="175B1444"/>
    <w:rsid w:val="17600C1C"/>
    <w:rsid w:val="176047D6"/>
    <w:rsid w:val="17606A5A"/>
    <w:rsid w:val="17623A6F"/>
    <w:rsid w:val="1764573E"/>
    <w:rsid w:val="1766119B"/>
    <w:rsid w:val="176835AE"/>
    <w:rsid w:val="176848EE"/>
    <w:rsid w:val="1768590F"/>
    <w:rsid w:val="176D1177"/>
    <w:rsid w:val="176D6A7B"/>
    <w:rsid w:val="176E20DF"/>
    <w:rsid w:val="176F6C9D"/>
    <w:rsid w:val="17740758"/>
    <w:rsid w:val="17742506"/>
    <w:rsid w:val="17742A59"/>
    <w:rsid w:val="17743AB8"/>
    <w:rsid w:val="177469AA"/>
    <w:rsid w:val="17763654"/>
    <w:rsid w:val="17763AF3"/>
    <w:rsid w:val="177B3894"/>
    <w:rsid w:val="177C760C"/>
    <w:rsid w:val="1786716F"/>
    <w:rsid w:val="17884203"/>
    <w:rsid w:val="178A36C2"/>
    <w:rsid w:val="178F7340"/>
    <w:rsid w:val="17927A1E"/>
    <w:rsid w:val="17942F95"/>
    <w:rsid w:val="179606CE"/>
    <w:rsid w:val="17976BFD"/>
    <w:rsid w:val="17992CBF"/>
    <w:rsid w:val="179C0104"/>
    <w:rsid w:val="179C1041"/>
    <w:rsid w:val="179D714E"/>
    <w:rsid w:val="179F5A9B"/>
    <w:rsid w:val="17A0779F"/>
    <w:rsid w:val="17A32DEB"/>
    <w:rsid w:val="17A56B63"/>
    <w:rsid w:val="17A607B9"/>
    <w:rsid w:val="17A95E70"/>
    <w:rsid w:val="17AF7A03"/>
    <w:rsid w:val="17B342CA"/>
    <w:rsid w:val="17B44FF8"/>
    <w:rsid w:val="17B5417E"/>
    <w:rsid w:val="17B54E07"/>
    <w:rsid w:val="17B9616B"/>
    <w:rsid w:val="17BA5014"/>
    <w:rsid w:val="17BC0AFB"/>
    <w:rsid w:val="17BE19D3"/>
    <w:rsid w:val="17C0574B"/>
    <w:rsid w:val="17C148B4"/>
    <w:rsid w:val="17C34556"/>
    <w:rsid w:val="17C52D61"/>
    <w:rsid w:val="17C62A51"/>
    <w:rsid w:val="17CC2342"/>
    <w:rsid w:val="17CD7F7D"/>
    <w:rsid w:val="17CF3BE0"/>
    <w:rsid w:val="17D15BAA"/>
    <w:rsid w:val="17D208A5"/>
    <w:rsid w:val="17D336D0"/>
    <w:rsid w:val="17D514F7"/>
    <w:rsid w:val="17D60C17"/>
    <w:rsid w:val="17D84B21"/>
    <w:rsid w:val="17DD5722"/>
    <w:rsid w:val="17E01949"/>
    <w:rsid w:val="17E104FE"/>
    <w:rsid w:val="17E21886"/>
    <w:rsid w:val="17E256C1"/>
    <w:rsid w:val="17E57B7A"/>
    <w:rsid w:val="17E86A50"/>
    <w:rsid w:val="17EA74B0"/>
    <w:rsid w:val="17EB6C6C"/>
    <w:rsid w:val="17EC02EE"/>
    <w:rsid w:val="17ED1035"/>
    <w:rsid w:val="17EF6030"/>
    <w:rsid w:val="17F20226"/>
    <w:rsid w:val="17F41506"/>
    <w:rsid w:val="17F43647"/>
    <w:rsid w:val="17F56E24"/>
    <w:rsid w:val="17FC4B07"/>
    <w:rsid w:val="17FD3BF2"/>
    <w:rsid w:val="17FD5EA0"/>
    <w:rsid w:val="17FE662D"/>
    <w:rsid w:val="17FF0AD7"/>
    <w:rsid w:val="17FF44C5"/>
    <w:rsid w:val="17FF6381"/>
    <w:rsid w:val="18001FEB"/>
    <w:rsid w:val="18016469"/>
    <w:rsid w:val="18025905"/>
    <w:rsid w:val="180329EF"/>
    <w:rsid w:val="180457DB"/>
    <w:rsid w:val="18047C45"/>
    <w:rsid w:val="180715CC"/>
    <w:rsid w:val="1807337A"/>
    <w:rsid w:val="18095AF5"/>
    <w:rsid w:val="18097F71"/>
    <w:rsid w:val="180D6805"/>
    <w:rsid w:val="180E4708"/>
    <w:rsid w:val="18105C8B"/>
    <w:rsid w:val="181066D2"/>
    <w:rsid w:val="181323E7"/>
    <w:rsid w:val="1814283E"/>
    <w:rsid w:val="18153CE9"/>
    <w:rsid w:val="18194E5B"/>
    <w:rsid w:val="181B27A7"/>
    <w:rsid w:val="181B5077"/>
    <w:rsid w:val="181D2B9D"/>
    <w:rsid w:val="182145DD"/>
    <w:rsid w:val="182A3041"/>
    <w:rsid w:val="182A6121"/>
    <w:rsid w:val="182B54CB"/>
    <w:rsid w:val="182C2D6B"/>
    <w:rsid w:val="182D5EF4"/>
    <w:rsid w:val="182E0907"/>
    <w:rsid w:val="18307716"/>
    <w:rsid w:val="18316649"/>
    <w:rsid w:val="183575F6"/>
    <w:rsid w:val="183950F5"/>
    <w:rsid w:val="183A07EC"/>
    <w:rsid w:val="183A26CC"/>
    <w:rsid w:val="183A2BF7"/>
    <w:rsid w:val="183D1A93"/>
    <w:rsid w:val="183D4393"/>
    <w:rsid w:val="183F0D66"/>
    <w:rsid w:val="183F6EE9"/>
    <w:rsid w:val="1840063A"/>
    <w:rsid w:val="1840688C"/>
    <w:rsid w:val="1843726B"/>
    <w:rsid w:val="1846413A"/>
    <w:rsid w:val="18473E3B"/>
    <w:rsid w:val="18477C1A"/>
    <w:rsid w:val="18497305"/>
    <w:rsid w:val="184D4A6B"/>
    <w:rsid w:val="184E71FB"/>
    <w:rsid w:val="185020A5"/>
    <w:rsid w:val="18502F73"/>
    <w:rsid w:val="18510A99"/>
    <w:rsid w:val="18514E6D"/>
    <w:rsid w:val="18550589"/>
    <w:rsid w:val="185546BD"/>
    <w:rsid w:val="18624A54"/>
    <w:rsid w:val="186270E4"/>
    <w:rsid w:val="18634CAD"/>
    <w:rsid w:val="18656AB0"/>
    <w:rsid w:val="18690F83"/>
    <w:rsid w:val="186F14C5"/>
    <w:rsid w:val="18710E80"/>
    <w:rsid w:val="18736A08"/>
    <w:rsid w:val="18742FB3"/>
    <w:rsid w:val="187459A9"/>
    <w:rsid w:val="18752DA1"/>
    <w:rsid w:val="187D53EA"/>
    <w:rsid w:val="188107DA"/>
    <w:rsid w:val="1882698E"/>
    <w:rsid w:val="18860743"/>
    <w:rsid w:val="188744BB"/>
    <w:rsid w:val="188B5B5F"/>
    <w:rsid w:val="189015C1"/>
    <w:rsid w:val="1894083A"/>
    <w:rsid w:val="18943133"/>
    <w:rsid w:val="189604D0"/>
    <w:rsid w:val="18972950"/>
    <w:rsid w:val="189736CA"/>
    <w:rsid w:val="18985719"/>
    <w:rsid w:val="189866C8"/>
    <w:rsid w:val="18990A52"/>
    <w:rsid w:val="189A3E34"/>
    <w:rsid w:val="189C1D14"/>
    <w:rsid w:val="189E3CDE"/>
    <w:rsid w:val="189F1804"/>
    <w:rsid w:val="18A06D70"/>
    <w:rsid w:val="18A21E99"/>
    <w:rsid w:val="18A233BA"/>
    <w:rsid w:val="18A8730E"/>
    <w:rsid w:val="18AC5CCF"/>
    <w:rsid w:val="18AE0570"/>
    <w:rsid w:val="18AE7C99"/>
    <w:rsid w:val="18B06178"/>
    <w:rsid w:val="18B33AED"/>
    <w:rsid w:val="18B347C6"/>
    <w:rsid w:val="18B44A60"/>
    <w:rsid w:val="18B533FA"/>
    <w:rsid w:val="18B57BF5"/>
    <w:rsid w:val="18B85D9C"/>
    <w:rsid w:val="18B93963"/>
    <w:rsid w:val="18B955E6"/>
    <w:rsid w:val="18BA01B9"/>
    <w:rsid w:val="18BB414E"/>
    <w:rsid w:val="18BD032B"/>
    <w:rsid w:val="18BD7EDC"/>
    <w:rsid w:val="18BF3C55"/>
    <w:rsid w:val="18BF43AF"/>
    <w:rsid w:val="18BF7F59"/>
    <w:rsid w:val="18C0011A"/>
    <w:rsid w:val="18C15AE8"/>
    <w:rsid w:val="18C24190"/>
    <w:rsid w:val="18C33C4F"/>
    <w:rsid w:val="18C33E9D"/>
    <w:rsid w:val="18C42C2A"/>
    <w:rsid w:val="18C63235"/>
    <w:rsid w:val="18C81CD7"/>
    <w:rsid w:val="18CD01C8"/>
    <w:rsid w:val="18CF294B"/>
    <w:rsid w:val="18CF6324"/>
    <w:rsid w:val="18D1631F"/>
    <w:rsid w:val="18D21BDA"/>
    <w:rsid w:val="18D55226"/>
    <w:rsid w:val="18D57BFF"/>
    <w:rsid w:val="18D70F9E"/>
    <w:rsid w:val="18D94D16"/>
    <w:rsid w:val="18DA0140"/>
    <w:rsid w:val="18DA0165"/>
    <w:rsid w:val="18DA1CB4"/>
    <w:rsid w:val="18DA355B"/>
    <w:rsid w:val="18DF7E53"/>
    <w:rsid w:val="18E072F4"/>
    <w:rsid w:val="18E55FF7"/>
    <w:rsid w:val="18EA3EAA"/>
    <w:rsid w:val="18EA506A"/>
    <w:rsid w:val="18EB5A29"/>
    <w:rsid w:val="18EC37E5"/>
    <w:rsid w:val="18ED07C2"/>
    <w:rsid w:val="18F15AAA"/>
    <w:rsid w:val="18F22749"/>
    <w:rsid w:val="18F908D6"/>
    <w:rsid w:val="18F9173E"/>
    <w:rsid w:val="18FC0A05"/>
    <w:rsid w:val="19002C28"/>
    <w:rsid w:val="19032BAB"/>
    <w:rsid w:val="190478B9"/>
    <w:rsid w:val="190A1374"/>
    <w:rsid w:val="190C52F2"/>
    <w:rsid w:val="190F0738"/>
    <w:rsid w:val="190F6D77"/>
    <w:rsid w:val="191133E8"/>
    <w:rsid w:val="19193F17"/>
    <w:rsid w:val="191957E5"/>
    <w:rsid w:val="1919674D"/>
    <w:rsid w:val="191C4ED7"/>
    <w:rsid w:val="191C59B6"/>
    <w:rsid w:val="191E206C"/>
    <w:rsid w:val="191F5608"/>
    <w:rsid w:val="192057C7"/>
    <w:rsid w:val="192064A0"/>
    <w:rsid w:val="19213DC6"/>
    <w:rsid w:val="192374B1"/>
    <w:rsid w:val="19262010"/>
    <w:rsid w:val="19263A2A"/>
    <w:rsid w:val="19294DC1"/>
    <w:rsid w:val="192A17B1"/>
    <w:rsid w:val="192B2350"/>
    <w:rsid w:val="192D693B"/>
    <w:rsid w:val="19300743"/>
    <w:rsid w:val="19322678"/>
    <w:rsid w:val="193261D5"/>
    <w:rsid w:val="193A15AC"/>
    <w:rsid w:val="193E5ABA"/>
    <w:rsid w:val="193E6E70"/>
    <w:rsid w:val="19406B43"/>
    <w:rsid w:val="194136D8"/>
    <w:rsid w:val="1942058E"/>
    <w:rsid w:val="19467ED2"/>
    <w:rsid w:val="194901EF"/>
    <w:rsid w:val="19497374"/>
    <w:rsid w:val="194A7A8D"/>
    <w:rsid w:val="194B54E8"/>
    <w:rsid w:val="194C362B"/>
    <w:rsid w:val="194D74B2"/>
    <w:rsid w:val="194E0902"/>
    <w:rsid w:val="19500EEB"/>
    <w:rsid w:val="1950760D"/>
    <w:rsid w:val="1953213B"/>
    <w:rsid w:val="19535F40"/>
    <w:rsid w:val="19560508"/>
    <w:rsid w:val="19567F0E"/>
    <w:rsid w:val="19580F41"/>
    <w:rsid w:val="195919B3"/>
    <w:rsid w:val="195B2810"/>
    <w:rsid w:val="19601486"/>
    <w:rsid w:val="19632832"/>
    <w:rsid w:val="19636CD6"/>
    <w:rsid w:val="19665182"/>
    <w:rsid w:val="196A0064"/>
    <w:rsid w:val="196B18E4"/>
    <w:rsid w:val="196B208A"/>
    <w:rsid w:val="196B517D"/>
    <w:rsid w:val="19703EFC"/>
    <w:rsid w:val="19704F4F"/>
    <w:rsid w:val="19705F9E"/>
    <w:rsid w:val="1971389A"/>
    <w:rsid w:val="19730A46"/>
    <w:rsid w:val="197821ED"/>
    <w:rsid w:val="197B401F"/>
    <w:rsid w:val="197B5DCD"/>
    <w:rsid w:val="197C736E"/>
    <w:rsid w:val="197E4CA6"/>
    <w:rsid w:val="197E58BE"/>
    <w:rsid w:val="19824B64"/>
    <w:rsid w:val="198329D0"/>
    <w:rsid w:val="19836A30"/>
    <w:rsid w:val="198D3D53"/>
    <w:rsid w:val="198F3627"/>
    <w:rsid w:val="198F3CBD"/>
    <w:rsid w:val="1990114D"/>
    <w:rsid w:val="19940C3D"/>
    <w:rsid w:val="1998697F"/>
    <w:rsid w:val="19986F06"/>
    <w:rsid w:val="199A1D61"/>
    <w:rsid w:val="199D21E8"/>
    <w:rsid w:val="199E0E0C"/>
    <w:rsid w:val="199F535C"/>
    <w:rsid w:val="199F5C71"/>
    <w:rsid w:val="19A006AB"/>
    <w:rsid w:val="19A23B2A"/>
    <w:rsid w:val="19A6327E"/>
    <w:rsid w:val="19A90B8D"/>
    <w:rsid w:val="19AD7F51"/>
    <w:rsid w:val="19AE4CD3"/>
    <w:rsid w:val="19B273D2"/>
    <w:rsid w:val="19B955BE"/>
    <w:rsid w:val="19BB266E"/>
    <w:rsid w:val="19BC09D4"/>
    <w:rsid w:val="19BC1F42"/>
    <w:rsid w:val="19BD0194"/>
    <w:rsid w:val="19C269E0"/>
    <w:rsid w:val="19C309ED"/>
    <w:rsid w:val="19CA0B03"/>
    <w:rsid w:val="19CB5C46"/>
    <w:rsid w:val="19CC487B"/>
    <w:rsid w:val="19D51983"/>
    <w:rsid w:val="19D55F1F"/>
    <w:rsid w:val="19D61256"/>
    <w:rsid w:val="19D94E97"/>
    <w:rsid w:val="19DA63C2"/>
    <w:rsid w:val="19DC4392"/>
    <w:rsid w:val="19DD262F"/>
    <w:rsid w:val="19DD3C43"/>
    <w:rsid w:val="19DF4F97"/>
    <w:rsid w:val="19DF65E7"/>
    <w:rsid w:val="19E03E83"/>
    <w:rsid w:val="19E22A47"/>
    <w:rsid w:val="19ED28ED"/>
    <w:rsid w:val="19ED659F"/>
    <w:rsid w:val="19EF056A"/>
    <w:rsid w:val="19EF2D60"/>
    <w:rsid w:val="19F87885"/>
    <w:rsid w:val="19FB2A6A"/>
    <w:rsid w:val="19FD134C"/>
    <w:rsid w:val="19FD67E3"/>
    <w:rsid w:val="1A014D54"/>
    <w:rsid w:val="1A041EBA"/>
    <w:rsid w:val="1A0A7151"/>
    <w:rsid w:val="1A0D4ED0"/>
    <w:rsid w:val="1A0D5BEF"/>
    <w:rsid w:val="1A134258"/>
    <w:rsid w:val="1A180236"/>
    <w:rsid w:val="1A18361C"/>
    <w:rsid w:val="1A1A2410"/>
    <w:rsid w:val="1A1C71D0"/>
    <w:rsid w:val="1A1D0C33"/>
    <w:rsid w:val="1A1E4732"/>
    <w:rsid w:val="1A21214D"/>
    <w:rsid w:val="1A226507"/>
    <w:rsid w:val="1A266BC7"/>
    <w:rsid w:val="1A271AB1"/>
    <w:rsid w:val="1A295829"/>
    <w:rsid w:val="1A2A221B"/>
    <w:rsid w:val="1A2E1092"/>
    <w:rsid w:val="1A2F0966"/>
    <w:rsid w:val="1A2F14CD"/>
    <w:rsid w:val="1A325F05"/>
    <w:rsid w:val="1A367F46"/>
    <w:rsid w:val="1A384441"/>
    <w:rsid w:val="1A3A72C2"/>
    <w:rsid w:val="1A3A7A37"/>
    <w:rsid w:val="1A3A7B3F"/>
    <w:rsid w:val="1A3C0D95"/>
    <w:rsid w:val="1A3C139A"/>
    <w:rsid w:val="1A404921"/>
    <w:rsid w:val="1A423D06"/>
    <w:rsid w:val="1A43683D"/>
    <w:rsid w:val="1A4408B5"/>
    <w:rsid w:val="1A442393"/>
    <w:rsid w:val="1A444411"/>
    <w:rsid w:val="1A4B1C44"/>
    <w:rsid w:val="1A535B10"/>
    <w:rsid w:val="1A555F58"/>
    <w:rsid w:val="1A55661F"/>
    <w:rsid w:val="1A5623E4"/>
    <w:rsid w:val="1A562CE6"/>
    <w:rsid w:val="1A5A3C35"/>
    <w:rsid w:val="1A5C33CE"/>
    <w:rsid w:val="1A5C49BD"/>
    <w:rsid w:val="1A5D54D3"/>
    <w:rsid w:val="1A5F2FF9"/>
    <w:rsid w:val="1A620D3B"/>
    <w:rsid w:val="1A626F8D"/>
    <w:rsid w:val="1A670100"/>
    <w:rsid w:val="1A68116F"/>
    <w:rsid w:val="1A683CF6"/>
    <w:rsid w:val="1A69145C"/>
    <w:rsid w:val="1A6A5E6B"/>
    <w:rsid w:val="1A6B4DA8"/>
    <w:rsid w:val="1A6C1BBA"/>
    <w:rsid w:val="1A702DBB"/>
    <w:rsid w:val="1A732F49"/>
    <w:rsid w:val="1A7449D9"/>
    <w:rsid w:val="1A756BAE"/>
    <w:rsid w:val="1A770671"/>
    <w:rsid w:val="1A77329A"/>
    <w:rsid w:val="1A78230D"/>
    <w:rsid w:val="1A7C1AAA"/>
    <w:rsid w:val="1A7C336C"/>
    <w:rsid w:val="1A7D5B75"/>
    <w:rsid w:val="1A7F16EC"/>
    <w:rsid w:val="1A812D47"/>
    <w:rsid w:val="1A874509"/>
    <w:rsid w:val="1A88702E"/>
    <w:rsid w:val="1A89451A"/>
    <w:rsid w:val="1A8962C8"/>
    <w:rsid w:val="1A8B76DB"/>
    <w:rsid w:val="1A911621"/>
    <w:rsid w:val="1A915239"/>
    <w:rsid w:val="1A936C6D"/>
    <w:rsid w:val="1A954C6D"/>
    <w:rsid w:val="1A9616B5"/>
    <w:rsid w:val="1A976C37"/>
    <w:rsid w:val="1A9B5FFB"/>
    <w:rsid w:val="1A9C34E6"/>
    <w:rsid w:val="1A9D5276"/>
    <w:rsid w:val="1A9D6217"/>
    <w:rsid w:val="1A9D7FC6"/>
    <w:rsid w:val="1A9E4895"/>
    <w:rsid w:val="1AA02767"/>
    <w:rsid w:val="1AA231E3"/>
    <w:rsid w:val="1AAB0E18"/>
    <w:rsid w:val="1AAB145A"/>
    <w:rsid w:val="1AAD4CF4"/>
    <w:rsid w:val="1AB07CF9"/>
    <w:rsid w:val="1AB14C73"/>
    <w:rsid w:val="1AB31597"/>
    <w:rsid w:val="1AB64BE3"/>
    <w:rsid w:val="1ABA46D4"/>
    <w:rsid w:val="1ABC669E"/>
    <w:rsid w:val="1ABC68F4"/>
    <w:rsid w:val="1ABD27AD"/>
    <w:rsid w:val="1AC27DB1"/>
    <w:rsid w:val="1AC41420"/>
    <w:rsid w:val="1AC824D2"/>
    <w:rsid w:val="1ACC13BE"/>
    <w:rsid w:val="1ACD2E18"/>
    <w:rsid w:val="1AD5775F"/>
    <w:rsid w:val="1AD81731"/>
    <w:rsid w:val="1AD86314"/>
    <w:rsid w:val="1AD928F8"/>
    <w:rsid w:val="1ADD6C39"/>
    <w:rsid w:val="1AE16104"/>
    <w:rsid w:val="1AE2123E"/>
    <w:rsid w:val="1AE94FB9"/>
    <w:rsid w:val="1AEB265C"/>
    <w:rsid w:val="1AEC58BC"/>
    <w:rsid w:val="1AED50E9"/>
    <w:rsid w:val="1AEE4F77"/>
    <w:rsid w:val="1AF000F5"/>
    <w:rsid w:val="1AF0733F"/>
    <w:rsid w:val="1AF20311"/>
    <w:rsid w:val="1AF23B2E"/>
    <w:rsid w:val="1AF77CFE"/>
    <w:rsid w:val="1AF8101D"/>
    <w:rsid w:val="1AFF2A2E"/>
    <w:rsid w:val="1AFF6A36"/>
    <w:rsid w:val="1B012302"/>
    <w:rsid w:val="1B024293"/>
    <w:rsid w:val="1B0561C3"/>
    <w:rsid w:val="1B0B24F9"/>
    <w:rsid w:val="1B0B3181"/>
    <w:rsid w:val="1B0D0CA7"/>
    <w:rsid w:val="1B0F7C1F"/>
    <w:rsid w:val="1B102545"/>
    <w:rsid w:val="1B171B26"/>
    <w:rsid w:val="1B177D78"/>
    <w:rsid w:val="1B191F67"/>
    <w:rsid w:val="1B1A1616"/>
    <w:rsid w:val="1B1A46CC"/>
    <w:rsid w:val="1B1C713C"/>
    <w:rsid w:val="1B1F4E7E"/>
    <w:rsid w:val="1B1F67CF"/>
    <w:rsid w:val="1B201CFC"/>
    <w:rsid w:val="1B211798"/>
    <w:rsid w:val="1B213209"/>
    <w:rsid w:val="1B244243"/>
    <w:rsid w:val="1B26620D"/>
    <w:rsid w:val="1B276DCE"/>
    <w:rsid w:val="1B294370"/>
    <w:rsid w:val="1B2B737F"/>
    <w:rsid w:val="1B2D773E"/>
    <w:rsid w:val="1B31394E"/>
    <w:rsid w:val="1B32070E"/>
    <w:rsid w:val="1B3426D8"/>
    <w:rsid w:val="1B3672FB"/>
    <w:rsid w:val="1B374EAD"/>
    <w:rsid w:val="1B3A3A66"/>
    <w:rsid w:val="1B3A56DE"/>
    <w:rsid w:val="1B3D1760"/>
    <w:rsid w:val="1B3D6E70"/>
    <w:rsid w:val="1B3F2E2B"/>
    <w:rsid w:val="1B402872"/>
    <w:rsid w:val="1B414DF5"/>
    <w:rsid w:val="1B430B6D"/>
    <w:rsid w:val="1B44072F"/>
    <w:rsid w:val="1B462887"/>
    <w:rsid w:val="1B485A2B"/>
    <w:rsid w:val="1B495A57"/>
    <w:rsid w:val="1B4A6B4E"/>
    <w:rsid w:val="1B515CE5"/>
    <w:rsid w:val="1B520DB0"/>
    <w:rsid w:val="1B552F65"/>
    <w:rsid w:val="1B56094C"/>
    <w:rsid w:val="1B577A36"/>
    <w:rsid w:val="1B5828C0"/>
    <w:rsid w:val="1B5B67BF"/>
    <w:rsid w:val="1B5C39DD"/>
    <w:rsid w:val="1B60171F"/>
    <w:rsid w:val="1B6327C4"/>
    <w:rsid w:val="1B632FBD"/>
    <w:rsid w:val="1B633F3A"/>
    <w:rsid w:val="1B650AE3"/>
    <w:rsid w:val="1B66485B"/>
    <w:rsid w:val="1B680DE5"/>
    <w:rsid w:val="1B6A60FA"/>
    <w:rsid w:val="1B6F54BE"/>
    <w:rsid w:val="1B707488"/>
    <w:rsid w:val="1B716EFB"/>
    <w:rsid w:val="1B742AD4"/>
    <w:rsid w:val="1B750DAE"/>
    <w:rsid w:val="1B754A9E"/>
    <w:rsid w:val="1B7633C8"/>
    <w:rsid w:val="1B7B783E"/>
    <w:rsid w:val="1B7C7BDB"/>
    <w:rsid w:val="1B7E1280"/>
    <w:rsid w:val="1B7E696B"/>
    <w:rsid w:val="1B7E7CEF"/>
    <w:rsid w:val="1B821B32"/>
    <w:rsid w:val="1B841BC1"/>
    <w:rsid w:val="1B863793"/>
    <w:rsid w:val="1B8946EE"/>
    <w:rsid w:val="1B897C3D"/>
    <w:rsid w:val="1B8B44F1"/>
    <w:rsid w:val="1B8C6519"/>
    <w:rsid w:val="1B8D61A2"/>
    <w:rsid w:val="1B91247C"/>
    <w:rsid w:val="1B9273FE"/>
    <w:rsid w:val="1B9648BD"/>
    <w:rsid w:val="1B965141"/>
    <w:rsid w:val="1B970EB9"/>
    <w:rsid w:val="1B9770E8"/>
    <w:rsid w:val="1B9842B4"/>
    <w:rsid w:val="1B993A77"/>
    <w:rsid w:val="1B995D68"/>
    <w:rsid w:val="1B9A5ADF"/>
    <w:rsid w:val="1B9A62B3"/>
    <w:rsid w:val="1B9B4505"/>
    <w:rsid w:val="1B9F2B1E"/>
    <w:rsid w:val="1BA13EBC"/>
    <w:rsid w:val="1BA15842"/>
    <w:rsid w:val="1BA17641"/>
    <w:rsid w:val="1BA56F22"/>
    <w:rsid w:val="1BAA2BE3"/>
    <w:rsid w:val="1BAC05C7"/>
    <w:rsid w:val="1BB55AB0"/>
    <w:rsid w:val="1BB73538"/>
    <w:rsid w:val="1BBA674C"/>
    <w:rsid w:val="1BBD4F5B"/>
    <w:rsid w:val="1BBE4697"/>
    <w:rsid w:val="1BC02A3A"/>
    <w:rsid w:val="1BC36DB1"/>
    <w:rsid w:val="1BC82E20"/>
    <w:rsid w:val="1BC86B92"/>
    <w:rsid w:val="1BCB1500"/>
    <w:rsid w:val="1BCB2744"/>
    <w:rsid w:val="1BCB46BE"/>
    <w:rsid w:val="1BCB6DE7"/>
    <w:rsid w:val="1BCF0653"/>
    <w:rsid w:val="1BD12332"/>
    <w:rsid w:val="1BD21EF1"/>
    <w:rsid w:val="1BD47A17"/>
    <w:rsid w:val="1BD6553D"/>
    <w:rsid w:val="1BD65C79"/>
    <w:rsid w:val="1BD77FB4"/>
    <w:rsid w:val="1BD95491"/>
    <w:rsid w:val="1BDA3ECC"/>
    <w:rsid w:val="1BDA7ADD"/>
    <w:rsid w:val="1BDE6C31"/>
    <w:rsid w:val="1BDF0B37"/>
    <w:rsid w:val="1BE0460E"/>
    <w:rsid w:val="1BE17614"/>
    <w:rsid w:val="1BE20386"/>
    <w:rsid w:val="1BE208BB"/>
    <w:rsid w:val="1BEC4D61"/>
    <w:rsid w:val="1BEF1D69"/>
    <w:rsid w:val="1BEF2AA3"/>
    <w:rsid w:val="1BEF4851"/>
    <w:rsid w:val="1BEF48B1"/>
    <w:rsid w:val="1BF20A7B"/>
    <w:rsid w:val="1BF27E9D"/>
    <w:rsid w:val="1BF6798D"/>
    <w:rsid w:val="1BF815D7"/>
    <w:rsid w:val="1BF81957"/>
    <w:rsid w:val="1BF81FE7"/>
    <w:rsid w:val="1BF86BBE"/>
    <w:rsid w:val="1BFB31F6"/>
    <w:rsid w:val="1BFD4B66"/>
    <w:rsid w:val="1BFE2CE6"/>
    <w:rsid w:val="1C0320AA"/>
    <w:rsid w:val="1C03467B"/>
    <w:rsid w:val="1C09697D"/>
    <w:rsid w:val="1C0A168B"/>
    <w:rsid w:val="1C0A3439"/>
    <w:rsid w:val="1C0B02CA"/>
    <w:rsid w:val="1C0C594B"/>
    <w:rsid w:val="1C0C71B1"/>
    <w:rsid w:val="1C0D4CD7"/>
    <w:rsid w:val="1C0D4EA6"/>
    <w:rsid w:val="1C0F0A4F"/>
    <w:rsid w:val="1C1027E3"/>
    <w:rsid w:val="1C1035F1"/>
    <w:rsid w:val="1C116586"/>
    <w:rsid w:val="1C122A4E"/>
    <w:rsid w:val="1C13053F"/>
    <w:rsid w:val="1C142509"/>
    <w:rsid w:val="1C185B56"/>
    <w:rsid w:val="1C1B48DF"/>
    <w:rsid w:val="1C1D6E4B"/>
    <w:rsid w:val="1C200B72"/>
    <w:rsid w:val="1C20245D"/>
    <w:rsid w:val="1C22061E"/>
    <w:rsid w:val="1C232895"/>
    <w:rsid w:val="1C242F2A"/>
    <w:rsid w:val="1C242F7D"/>
    <w:rsid w:val="1C26130D"/>
    <w:rsid w:val="1C2905DE"/>
    <w:rsid w:val="1C2D2652"/>
    <w:rsid w:val="1C314095"/>
    <w:rsid w:val="1C31573F"/>
    <w:rsid w:val="1C316C17"/>
    <w:rsid w:val="1C332A00"/>
    <w:rsid w:val="1C346708"/>
    <w:rsid w:val="1C393D1E"/>
    <w:rsid w:val="1C3A1F70"/>
    <w:rsid w:val="1C3B0400"/>
    <w:rsid w:val="1C413462"/>
    <w:rsid w:val="1C427076"/>
    <w:rsid w:val="1C46074C"/>
    <w:rsid w:val="1C46346D"/>
    <w:rsid w:val="1C4F3541"/>
    <w:rsid w:val="1C4F7339"/>
    <w:rsid w:val="1C5002F6"/>
    <w:rsid w:val="1C542906"/>
    <w:rsid w:val="1C580648"/>
    <w:rsid w:val="1C5A32A7"/>
    <w:rsid w:val="1C5C2B95"/>
    <w:rsid w:val="1C5C3D0D"/>
    <w:rsid w:val="1C5D7420"/>
    <w:rsid w:val="1C6012AB"/>
    <w:rsid w:val="1C60574F"/>
    <w:rsid w:val="1C6172DD"/>
    <w:rsid w:val="1C654B13"/>
    <w:rsid w:val="1C693DCE"/>
    <w:rsid w:val="1C696D59"/>
    <w:rsid w:val="1C6D69F0"/>
    <w:rsid w:val="1C720A46"/>
    <w:rsid w:val="1C7A6810"/>
    <w:rsid w:val="1C7B531C"/>
    <w:rsid w:val="1C7B7E93"/>
    <w:rsid w:val="1C7C5B27"/>
    <w:rsid w:val="1C7E3E89"/>
    <w:rsid w:val="1C83399F"/>
    <w:rsid w:val="1C835AF5"/>
    <w:rsid w:val="1C8431EB"/>
    <w:rsid w:val="1C844F99"/>
    <w:rsid w:val="1C856582"/>
    <w:rsid w:val="1C872506"/>
    <w:rsid w:val="1C872BA9"/>
    <w:rsid w:val="1C8A55DB"/>
    <w:rsid w:val="1C8A6D4D"/>
    <w:rsid w:val="1C8C02F2"/>
    <w:rsid w:val="1C8F393E"/>
    <w:rsid w:val="1C910362"/>
    <w:rsid w:val="1C924EFC"/>
    <w:rsid w:val="1C93507D"/>
    <w:rsid w:val="1C990C2B"/>
    <w:rsid w:val="1C99656B"/>
    <w:rsid w:val="1C9C0BC9"/>
    <w:rsid w:val="1C9F1DD3"/>
    <w:rsid w:val="1CA0064B"/>
    <w:rsid w:val="1CA13108"/>
    <w:rsid w:val="1CA479F5"/>
    <w:rsid w:val="1CA571CC"/>
    <w:rsid w:val="1CAB15C9"/>
    <w:rsid w:val="1CAE64BA"/>
    <w:rsid w:val="1CAF1A17"/>
    <w:rsid w:val="1CB03FE0"/>
    <w:rsid w:val="1CB05555"/>
    <w:rsid w:val="1CB11B06"/>
    <w:rsid w:val="1CB17D58"/>
    <w:rsid w:val="1CB47B1D"/>
    <w:rsid w:val="1CB737D9"/>
    <w:rsid w:val="1CB810E7"/>
    <w:rsid w:val="1CB97AAA"/>
    <w:rsid w:val="1CBF10C8"/>
    <w:rsid w:val="1CC25AC1"/>
    <w:rsid w:val="1CC3381B"/>
    <w:rsid w:val="1CC400CA"/>
    <w:rsid w:val="1CC528B8"/>
    <w:rsid w:val="1CCC06EE"/>
    <w:rsid w:val="1CD360FF"/>
    <w:rsid w:val="1CD37D3D"/>
    <w:rsid w:val="1CD557F5"/>
    <w:rsid w:val="1CD579DF"/>
    <w:rsid w:val="1CDA2E0B"/>
    <w:rsid w:val="1CDB530B"/>
    <w:rsid w:val="1CDC169F"/>
    <w:rsid w:val="1CDE3254"/>
    <w:rsid w:val="1CDE4DCD"/>
    <w:rsid w:val="1CDF18F9"/>
    <w:rsid w:val="1CE1063D"/>
    <w:rsid w:val="1CE13DF5"/>
    <w:rsid w:val="1CE343B6"/>
    <w:rsid w:val="1CE66F75"/>
    <w:rsid w:val="1CE83F1F"/>
    <w:rsid w:val="1CEA2A30"/>
    <w:rsid w:val="1CEC0D90"/>
    <w:rsid w:val="1CEE0B7C"/>
    <w:rsid w:val="1CF0262F"/>
    <w:rsid w:val="1CF3211F"/>
    <w:rsid w:val="1CF33ECD"/>
    <w:rsid w:val="1CF40745"/>
    <w:rsid w:val="1CFA16FF"/>
    <w:rsid w:val="1CFC5477"/>
    <w:rsid w:val="1D071AEF"/>
    <w:rsid w:val="1D085BCA"/>
    <w:rsid w:val="1D0936F0"/>
    <w:rsid w:val="1D0A30B4"/>
    <w:rsid w:val="1D0B4DF6"/>
    <w:rsid w:val="1D0C4AC9"/>
    <w:rsid w:val="1D0C6261"/>
    <w:rsid w:val="1D0D7F00"/>
    <w:rsid w:val="1D111176"/>
    <w:rsid w:val="1D143873"/>
    <w:rsid w:val="1D1443FB"/>
    <w:rsid w:val="1D167BBB"/>
    <w:rsid w:val="1D1A3723"/>
    <w:rsid w:val="1D216C8C"/>
    <w:rsid w:val="1D2311A6"/>
    <w:rsid w:val="1D2910FF"/>
    <w:rsid w:val="1D2B74F8"/>
    <w:rsid w:val="1D2C3393"/>
    <w:rsid w:val="1D2D3CFC"/>
    <w:rsid w:val="1D2D45E8"/>
    <w:rsid w:val="1D2E13A9"/>
    <w:rsid w:val="1D303373"/>
    <w:rsid w:val="1D305121"/>
    <w:rsid w:val="1D331F81"/>
    <w:rsid w:val="1D3437FE"/>
    <w:rsid w:val="1D344C11"/>
    <w:rsid w:val="1D3650E6"/>
    <w:rsid w:val="1D391F36"/>
    <w:rsid w:val="1D392A76"/>
    <w:rsid w:val="1D3A0A6A"/>
    <w:rsid w:val="1D3E6E58"/>
    <w:rsid w:val="1D402C03"/>
    <w:rsid w:val="1D406701"/>
    <w:rsid w:val="1D4128C2"/>
    <w:rsid w:val="1D435B19"/>
    <w:rsid w:val="1D474FA1"/>
    <w:rsid w:val="1D476EAB"/>
    <w:rsid w:val="1D48246B"/>
    <w:rsid w:val="1D4C59A0"/>
    <w:rsid w:val="1D4D7EA5"/>
    <w:rsid w:val="1D4F1A4B"/>
    <w:rsid w:val="1D54080D"/>
    <w:rsid w:val="1D553FA6"/>
    <w:rsid w:val="1D570900"/>
    <w:rsid w:val="1D5A2460"/>
    <w:rsid w:val="1D5C4168"/>
    <w:rsid w:val="1D60504C"/>
    <w:rsid w:val="1D6118F1"/>
    <w:rsid w:val="1D652C1A"/>
    <w:rsid w:val="1D6B6159"/>
    <w:rsid w:val="1D6D0123"/>
    <w:rsid w:val="1D703D28"/>
    <w:rsid w:val="1D70551D"/>
    <w:rsid w:val="1D7172E5"/>
    <w:rsid w:val="1D752F99"/>
    <w:rsid w:val="1D756FD8"/>
    <w:rsid w:val="1D790F50"/>
    <w:rsid w:val="1D791050"/>
    <w:rsid w:val="1D7A2077"/>
    <w:rsid w:val="1D7C76CB"/>
    <w:rsid w:val="1D7F39B2"/>
    <w:rsid w:val="1D81597C"/>
    <w:rsid w:val="1D871923"/>
    <w:rsid w:val="1D8A2A83"/>
    <w:rsid w:val="1D8A3695"/>
    <w:rsid w:val="1D8B05A9"/>
    <w:rsid w:val="1D90602D"/>
    <w:rsid w:val="1D943902"/>
    <w:rsid w:val="1D96712F"/>
    <w:rsid w:val="1D9B1A25"/>
    <w:rsid w:val="1D9C5285"/>
    <w:rsid w:val="1D9C5BAA"/>
    <w:rsid w:val="1D9C6312"/>
    <w:rsid w:val="1D9E02DC"/>
    <w:rsid w:val="1D9F7AF9"/>
    <w:rsid w:val="1DA254B6"/>
    <w:rsid w:val="1DA55AD7"/>
    <w:rsid w:val="1DA752AC"/>
    <w:rsid w:val="1DA8115B"/>
    <w:rsid w:val="1DA90A2F"/>
    <w:rsid w:val="1DAD6826"/>
    <w:rsid w:val="1DAF6046"/>
    <w:rsid w:val="1DB17708"/>
    <w:rsid w:val="1DB26E14"/>
    <w:rsid w:val="1DB32CDB"/>
    <w:rsid w:val="1DB6195D"/>
    <w:rsid w:val="1DB7314C"/>
    <w:rsid w:val="1DC1221D"/>
    <w:rsid w:val="1DC43106"/>
    <w:rsid w:val="1DC50BB9"/>
    <w:rsid w:val="1DC51D0D"/>
    <w:rsid w:val="1DC53ABB"/>
    <w:rsid w:val="1DC57EB5"/>
    <w:rsid w:val="1DCA3975"/>
    <w:rsid w:val="1DCA56D5"/>
    <w:rsid w:val="1DD074FD"/>
    <w:rsid w:val="1DD43CFE"/>
    <w:rsid w:val="1DD50508"/>
    <w:rsid w:val="1DDD37AB"/>
    <w:rsid w:val="1DDD518F"/>
    <w:rsid w:val="1DDE2DCF"/>
    <w:rsid w:val="1DDE692B"/>
    <w:rsid w:val="1DDF4755"/>
    <w:rsid w:val="1DE163DC"/>
    <w:rsid w:val="1DE34DFC"/>
    <w:rsid w:val="1DE63845"/>
    <w:rsid w:val="1DE65557"/>
    <w:rsid w:val="1DE859FC"/>
    <w:rsid w:val="1DEC2FA3"/>
    <w:rsid w:val="1DED0804"/>
    <w:rsid w:val="1DEF6D8A"/>
    <w:rsid w:val="1DF07CE1"/>
    <w:rsid w:val="1DF443A0"/>
    <w:rsid w:val="1DFE6916"/>
    <w:rsid w:val="1E05035C"/>
    <w:rsid w:val="1E063E69"/>
    <w:rsid w:val="1E0839A8"/>
    <w:rsid w:val="1E0E00F8"/>
    <w:rsid w:val="1E1047A3"/>
    <w:rsid w:val="1E134B05"/>
    <w:rsid w:val="1E162569"/>
    <w:rsid w:val="1E165CBC"/>
    <w:rsid w:val="1E18008F"/>
    <w:rsid w:val="1E183D2D"/>
    <w:rsid w:val="1E1B5D87"/>
    <w:rsid w:val="1E221D7E"/>
    <w:rsid w:val="1E233806"/>
    <w:rsid w:val="1E29229C"/>
    <w:rsid w:val="1E2A5CCB"/>
    <w:rsid w:val="1E2D102B"/>
    <w:rsid w:val="1E2F7187"/>
    <w:rsid w:val="1E305AC7"/>
    <w:rsid w:val="1E3337EC"/>
    <w:rsid w:val="1E34479D"/>
    <w:rsid w:val="1E374500"/>
    <w:rsid w:val="1E3824DF"/>
    <w:rsid w:val="1E3B67A6"/>
    <w:rsid w:val="1E432ED3"/>
    <w:rsid w:val="1E487A0A"/>
    <w:rsid w:val="1E4A2D69"/>
    <w:rsid w:val="1E4B61A9"/>
    <w:rsid w:val="1E4D66DA"/>
    <w:rsid w:val="1E4D747A"/>
    <w:rsid w:val="1E5310C7"/>
    <w:rsid w:val="1E543091"/>
    <w:rsid w:val="1E546BED"/>
    <w:rsid w:val="1E552C64"/>
    <w:rsid w:val="1E5730FC"/>
    <w:rsid w:val="1E591B20"/>
    <w:rsid w:val="1E596A0F"/>
    <w:rsid w:val="1E5E0CCE"/>
    <w:rsid w:val="1E5E181A"/>
    <w:rsid w:val="1E62721F"/>
    <w:rsid w:val="1E644DA7"/>
    <w:rsid w:val="1E646843"/>
    <w:rsid w:val="1E652BA8"/>
    <w:rsid w:val="1E6943E1"/>
    <w:rsid w:val="1E69528A"/>
    <w:rsid w:val="1E696B3C"/>
    <w:rsid w:val="1E6A01BF"/>
    <w:rsid w:val="1E6C2189"/>
    <w:rsid w:val="1E6C7F40"/>
    <w:rsid w:val="1E6F6E7F"/>
    <w:rsid w:val="1E731D9D"/>
    <w:rsid w:val="1E74103D"/>
    <w:rsid w:val="1E763007"/>
    <w:rsid w:val="1E764DB5"/>
    <w:rsid w:val="1E7A1F43"/>
    <w:rsid w:val="1E7A2AF8"/>
    <w:rsid w:val="1E7D30C0"/>
    <w:rsid w:val="1E7E3C6A"/>
    <w:rsid w:val="1E7F5BA3"/>
    <w:rsid w:val="1E82375A"/>
    <w:rsid w:val="1E845724"/>
    <w:rsid w:val="1E8544DD"/>
    <w:rsid w:val="1E862B4E"/>
    <w:rsid w:val="1E875215"/>
    <w:rsid w:val="1E8C282B"/>
    <w:rsid w:val="1E8E6546"/>
    <w:rsid w:val="1E8F5E77"/>
    <w:rsid w:val="1E91399D"/>
    <w:rsid w:val="1E933319"/>
    <w:rsid w:val="1E937715"/>
    <w:rsid w:val="1E94348E"/>
    <w:rsid w:val="1E972D99"/>
    <w:rsid w:val="1E9811D0"/>
    <w:rsid w:val="1E9A6CF6"/>
    <w:rsid w:val="1E9B0CC0"/>
    <w:rsid w:val="1E9B481C"/>
    <w:rsid w:val="1E9F255E"/>
    <w:rsid w:val="1EA336D1"/>
    <w:rsid w:val="1EA44D1C"/>
    <w:rsid w:val="1EAE1967"/>
    <w:rsid w:val="1EAE27A1"/>
    <w:rsid w:val="1EB37DB8"/>
    <w:rsid w:val="1EB46AD0"/>
    <w:rsid w:val="1EB51D82"/>
    <w:rsid w:val="1EB52C20"/>
    <w:rsid w:val="1EB63D12"/>
    <w:rsid w:val="1EB83620"/>
    <w:rsid w:val="1EBA1146"/>
    <w:rsid w:val="1EBB2797"/>
    <w:rsid w:val="1EBC46A8"/>
    <w:rsid w:val="1EBD024E"/>
    <w:rsid w:val="1EBD5943"/>
    <w:rsid w:val="1EBE2E60"/>
    <w:rsid w:val="1EBF3266"/>
    <w:rsid w:val="1EC53788"/>
    <w:rsid w:val="1EC65D3D"/>
    <w:rsid w:val="1EC71821"/>
    <w:rsid w:val="1ED1768A"/>
    <w:rsid w:val="1ED276E7"/>
    <w:rsid w:val="1ED56C7F"/>
    <w:rsid w:val="1ED56D27"/>
    <w:rsid w:val="1ED92ECB"/>
    <w:rsid w:val="1ED97340"/>
    <w:rsid w:val="1EE066D3"/>
    <w:rsid w:val="1EE30C5B"/>
    <w:rsid w:val="1EE44415"/>
    <w:rsid w:val="1EE53CE9"/>
    <w:rsid w:val="1EE6018D"/>
    <w:rsid w:val="1EEA3FB5"/>
    <w:rsid w:val="1EEA765C"/>
    <w:rsid w:val="1EEC1102"/>
    <w:rsid w:val="1EEC5CB3"/>
    <w:rsid w:val="1EF604CD"/>
    <w:rsid w:val="1EF74148"/>
    <w:rsid w:val="1EF83A1C"/>
    <w:rsid w:val="1EF86173"/>
    <w:rsid w:val="1EF950E9"/>
    <w:rsid w:val="1EFA1543"/>
    <w:rsid w:val="1EFA1CD6"/>
    <w:rsid w:val="1EFA3C38"/>
    <w:rsid w:val="1EFA4931"/>
    <w:rsid w:val="1EFA5C1F"/>
    <w:rsid w:val="1EFA7794"/>
    <w:rsid w:val="1F004DA7"/>
    <w:rsid w:val="1F012634"/>
    <w:rsid w:val="1F02489B"/>
    <w:rsid w:val="1F030B42"/>
    <w:rsid w:val="1F073C5F"/>
    <w:rsid w:val="1F087C34"/>
    <w:rsid w:val="1F0B3750"/>
    <w:rsid w:val="1F0B7BF4"/>
    <w:rsid w:val="1F0C1276"/>
    <w:rsid w:val="1F0F015E"/>
    <w:rsid w:val="1F106FB8"/>
    <w:rsid w:val="1F134CFA"/>
    <w:rsid w:val="1F152820"/>
    <w:rsid w:val="1F154D05"/>
    <w:rsid w:val="1F1A7E37"/>
    <w:rsid w:val="1F262338"/>
    <w:rsid w:val="1F274302"/>
    <w:rsid w:val="1F281643"/>
    <w:rsid w:val="1F29007A"/>
    <w:rsid w:val="1F2A3256"/>
    <w:rsid w:val="1F2B0902"/>
    <w:rsid w:val="1F2D3B32"/>
    <w:rsid w:val="1F2D5E5A"/>
    <w:rsid w:val="1F2E38E2"/>
    <w:rsid w:val="1F2E5690"/>
    <w:rsid w:val="1F301408"/>
    <w:rsid w:val="1F30765A"/>
    <w:rsid w:val="1F325180"/>
    <w:rsid w:val="1F354C71"/>
    <w:rsid w:val="1F3709E9"/>
    <w:rsid w:val="1F372BAD"/>
    <w:rsid w:val="1F374545"/>
    <w:rsid w:val="1F386855"/>
    <w:rsid w:val="1F3962EE"/>
    <w:rsid w:val="1F3A1D83"/>
    <w:rsid w:val="1F3A2287"/>
    <w:rsid w:val="1F3E1D77"/>
    <w:rsid w:val="1F3F0C31"/>
    <w:rsid w:val="1F3F33F9"/>
    <w:rsid w:val="1F3F7894"/>
    <w:rsid w:val="1F3F789D"/>
    <w:rsid w:val="1F4228C1"/>
    <w:rsid w:val="1F43795A"/>
    <w:rsid w:val="1F4629DA"/>
    <w:rsid w:val="1F474C4B"/>
    <w:rsid w:val="1F494278"/>
    <w:rsid w:val="1F4E033A"/>
    <w:rsid w:val="1F4E188E"/>
    <w:rsid w:val="1F4E5D32"/>
    <w:rsid w:val="1F5122ED"/>
    <w:rsid w:val="1F513DA7"/>
    <w:rsid w:val="1F532377"/>
    <w:rsid w:val="1F536EA5"/>
    <w:rsid w:val="1F550E6F"/>
    <w:rsid w:val="1F5570C1"/>
    <w:rsid w:val="1F58270D"/>
    <w:rsid w:val="1F596413"/>
    <w:rsid w:val="1F5A46D7"/>
    <w:rsid w:val="1F5C21FD"/>
    <w:rsid w:val="1F601EAE"/>
    <w:rsid w:val="1F610F75"/>
    <w:rsid w:val="1F6120B7"/>
    <w:rsid w:val="1F615897"/>
    <w:rsid w:val="1F621221"/>
    <w:rsid w:val="1F624061"/>
    <w:rsid w:val="1F637D0B"/>
    <w:rsid w:val="1F6410B2"/>
    <w:rsid w:val="1F644CA6"/>
    <w:rsid w:val="1F647304"/>
    <w:rsid w:val="1F6627D9"/>
    <w:rsid w:val="1F672950"/>
    <w:rsid w:val="1F674437"/>
    <w:rsid w:val="1F680BA2"/>
    <w:rsid w:val="1F686DF4"/>
    <w:rsid w:val="1F6D7F66"/>
    <w:rsid w:val="1F6E3CDF"/>
    <w:rsid w:val="1F721A21"/>
    <w:rsid w:val="1F7312F5"/>
    <w:rsid w:val="1F7364A9"/>
    <w:rsid w:val="1F745799"/>
    <w:rsid w:val="1F7459F0"/>
    <w:rsid w:val="1F7800C4"/>
    <w:rsid w:val="1F79625B"/>
    <w:rsid w:val="1F7B44EE"/>
    <w:rsid w:val="1F7C464D"/>
    <w:rsid w:val="1F7D44D2"/>
    <w:rsid w:val="1F7F25D8"/>
    <w:rsid w:val="1F803EEA"/>
    <w:rsid w:val="1F80565A"/>
    <w:rsid w:val="1F830AA6"/>
    <w:rsid w:val="1F8543FC"/>
    <w:rsid w:val="1F8627EB"/>
    <w:rsid w:val="1F862C77"/>
    <w:rsid w:val="1F8654CC"/>
    <w:rsid w:val="1F88610E"/>
    <w:rsid w:val="1F8B2284"/>
    <w:rsid w:val="1F8D685B"/>
    <w:rsid w:val="1F8F25D3"/>
    <w:rsid w:val="1F901EA7"/>
    <w:rsid w:val="1F912E7B"/>
    <w:rsid w:val="1F941997"/>
    <w:rsid w:val="1F947BE9"/>
    <w:rsid w:val="1F962B2D"/>
    <w:rsid w:val="1F99799D"/>
    <w:rsid w:val="1F9A4AD4"/>
    <w:rsid w:val="1F9C2466"/>
    <w:rsid w:val="1FA21FFC"/>
    <w:rsid w:val="1FA40A33"/>
    <w:rsid w:val="1FA72D6F"/>
    <w:rsid w:val="1FA92F69"/>
    <w:rsid w:val="1FAB6CE1"/>
    <w:rsid w:val="1FAC799E"/>
    <w:rsid w:val="1FAD4807"/>
    <w:rsid w:val="1FAE057F"/>
    <w:rsid w:val="1FB212F0"/>
    <w:rsid w:val="1FB24760"/>
    <w:rsid w:val="1FB3249D"/>
    <w:rsid w:val="1FB577D8"/>
    <w:rsid w:val="1FB931AC"/>
    <w:rsid w:val="1FBC2C9C"/>
    <w:rsid w:val="1FBF4D07"/>
    <w:rsid w:val="1FC16504"/>
    <w:rsid w:val="1FC2215F"/>
    <w:rsid w:val="1FC35DD8"/>
    <w:rsid w:val="1FC41B50"/>
    <w:rsid w:val="1FC55C88"/>
    <w:rsid w:val="1FC61D6D"/>
    <w:rsid w:val="1FC906EB"/>
    <w:rsid w:val="1FCA25DE"/>
    <w:rsid w:val="1FCB3AF5"/>
    <w:rsid w:val="1FCD30FB"/>
    <w:rsid w:val="1FD46237"/>
    <w:rsid w:val="1FD47FE6"/>
    <w:rsid w:val="1FDE41F0"/>
    <w:rsid w:val="1FDF698A"/>
    <w:rsid w:val="1FE521F3"/>
    <w:rsid w:val="1FE91310"/>
    <w:rsid w:val="1FEA3249"/>
    <w:rsid w:val="1FEB3E6F"/>
    <w:rsid w:val="1FED10A7"/>
    <w:rsid w:val="1FF02946"/>
    <w:rsid w:val="1FF407A0"/>
    <w:rsid w:val="1FFB1A16"/>
    <w:rsid w:val="1FFC052B"/>
    <w:rsid w:val="1FFD0358"/>
    <w:rsid w:val="2000527E"/>
    <w:rsid w:val="20016901"/>
    <w:rsid w:val="200308CB"/>
    <w:rsid w:val="20037536"/>
    <w:rsid w:val="20054643"/>
    <w:rsid w:val="200563F1"/>
    <w:rsid w:val="20085EE1"/>
    <w:rsid w:val="200958D6"/>
    <w:rsid w:val="20105350"/>
    <w:rsid w:val="20142AD8"/>
    <w:rsid w:val="201523AC"/>
    <w:rsid w:val="201605FE"/>
    <w:rsid w:val="20163E6A"/>
    <w:rsid w:val="20174376"/>
    <w:rsid w:val="20191E9C"/>
    <w:rsid w:val="20196340"/>
    <w:rsid w:val="201C73B2"/>
    <w:rsid w:val="201C7BDE"/>
    <w:rsid w:val="201E1DBC"/>
    <w:rsid w:val="201E5705"/>
    <w:rsid w:val="201E74B3"/>
    <w:rsid w:val="20210D51"/>
    <w:rsid w:val="202373A9"/>
    <w:rsid w:val="202C3A87"/>
    <w:rsid w:val="202C6073"/>
    <w:rsid w:val="202D3B9A"/>
    <w:rsid w:val="202D7F78"/>
    <w:rsid w:val="202F18DF"/>
    <w:rsid w:val="203023E8"/>
    <w:rsid w:val="203718A7"/>
    <w:rsid w:val="203D5C81"/>
    <w:rsid w:val="203E1903"/>
    <w:rsid w:val="20402E16"/>
    <w:rsid w:val="204038CD"/>
    <w:rsid w:val="20407429"/>
    <w:rsid w:val="20436F19"/>
    <w:rsid w:val="20465F2B"/>
    <w:rsid w:val="20474BC3"/>
    <w:rsid w:val="20480F8B"/>
    <w:rsid w:val="20486AA1"/>
    <w:rsid w:val="204A13E4"/>
    <w:rsid w:val="204C3BDD"/>
    <w:rsid w:val="204D5FEA"/>
    <w:rsid w:val="20522D39"/>
    <w:rsid w:val="20523600"/>
    <w:rsid w:val="20542ED4"/>
    <w:rsid w:val="20564E9E"/>
    <w:rsid w:val="20570DB0"/>
    <w:rsid w:val="2059673D"/>
    <w:rsid w:val="205B153E"/>
    <w:rsid w:val="205F3E6B"/>
    <w:rsid w:val="20603429"/>
    <w:rsid w:val="20603848"/>
    <w:rsid w:val="20646707"/>
    <w:rsid w:val="206550E2"/>
    <w:rsid w:val="206776EC"/>
    <w:rsid w:val="206A1568"/>
    <w:rsid w:val="206C021E"/>
    <w:rsid w:val="207140B4"/>
    <w:rsid w:val="20714AB7"/>
    <w:rsid w:val="20727346"/>
    <w:rsid w:val="2079293B"/>
    <w:rsid w:val="207B66B3"/>
    <w:rsid w:val="207E61A3"/>
    <w:rsid w:val="20802E0E"/>
    <w:rsid w:val="20893844"/>
    <w:rsid w:val="208D63E6"/>
    <w:rsid w:val="20914128"/>
    <w:rsid w:val="20925F6A"/>
    <w:rsid w:val="20971013"/>
    <w:rsid w:val="20994012"/>
    <w:rsid w:val="209D2ACD"/>
    <w:rsid w:val="209E1AAC"/>
    <w:rsid w:val="20A05458"/>
    <w:rsid w:val="20A112DA"/>
    <w:rsid w:val="20A12058"/>
    <w:rsid w:val="20A33B2B"/>
    <w:rsid w:val="20A51982"/>
    <w:rsid w:val="20A83220"/>
    <w:rsid w:val="20A976C4"/>
    <w:rsid w:val="20AB0654"/>
    <w:rsid w:val="20AE14FE"/>
    <w:rsid w:val="20B142F4"/>
    <w:rsid w:val="20B63B8F"/>
    <w:rsid w:val="20B81BF1"/>
    <w:rsid w:val="20BB11BE"/>
    <w:rsid w:val="20BC3933"/>
    <w:rsid w:val="20C357C6"/>
    <w:rsid w:val="20C86806"/>
    <w:rsid w:val="20C95670"/>
    <w:rsid w:val="20CA3197"/>
    <w:rsid w:val="20CD0C40"/>
    <w:rsid w:val="20CE0ED9"/>
    <w:rsid w:val="20CE2C87"/>
    <w:rsid w:val="20D35645"/>
    <w:rsid w:val="20D364EF"/>
    <w:rsid w:val="20D3675E"/>
    <w:rsid w:val="20D42204"/>
    <w:rsid w:val="20D504B9"/>
    <w:rsid w:val="20D620C1"/>
    <w:rsid w:val="20D67D8D"/>
    <w:rsid w:val="20D9162C"/>
    <w:rsid w:val="20DA0B81"/>
    <w:rsid w:val="20DB1848"/>
    <w:rsid w:val="20DD7F1A"/>
    <w:rsid w:val="20E029BA"/>
    <w:rsid w:val="20E17CAC"/>
    <w:rsid w:val="20E24984"/>
    <w:rsid w:val="20E67ABC"/>
    <w:rsid w:val="20E701EC"/>
    <w:rsid w:val="20E85BCD"/>
    <w:rsid w:val="20E93F65"/>
    <w:rsid w:val="20EA3839"/>
    <w:rsid w:val="20EC1BF4"/>
    <w:rsid w:val="20F621DE"/>
    <w:rsid w:val="20F72202"/>
    <w:rsid w:val="20F9464F"/>
    <w:rsid w:val="20FA681B"/>
    <w:rsid w:val="20FE4D48"/>
    <w:rsid w:val="21025026"/>
    <w:rsid w:val="210C7987"/>
    <w:rsid w:val="210E39CB"/>
    <w:rsid w:val="2110329F"/>
    <w:rsid w:val="211120A0"/>
    <w:rsid w:val="21145EF9"/>
    <w:rsid w:val="211613C9"/>
    <w:rsid w:val="211B303B"/>
    <w:rsid w:val="21232323"/>
    <w:rsid w:val="21233B6B"/>
    <w:rsid w:val="2128725C"/>
    <w:rsid w:val="212A728B"/>
    <w:rsid w:val="212E0A02"/>
    <w:rsid w:val="212F5951"/>
    <w:rsid w:val="21322A1F"/>
    <w:rsid w:val="21325377"/>
    <w:rsid w:val="213276BA"/>
    <w:rsid w:val="21330763"/>
    <w:rsid w:val="21366A7E"/>
    <w:rsid w:val="21367C04"/>
    <w:rsid w:val="213D6D9A"/>
    <w:rsid w:val="213E6406"/>
    <w:rsid w:val="213F3B84"/>
    <w:rsid w:val="213F42E1"/>
    <w:rsid w:val="213F51FE"/>
    <w:rsid w:val="21424E4B"/>
    <w:rsid w:val="214273CC"/>
    <w:rsid w:val="21432AEC"/>
    <w:rsid w:val="2149055F"/>
    <w:rsid w:val="214B59F5"/>
    <w:rsid w:val="214C4715"/>
    <w:rsid w:val="214C749C"/>
    <w:rsid w:val="2154384A"/>
    <w:rsid w:val="21547F36"/>
    <w:rsid w:val="21563C0D"/>
    <w:rsid w:val="21581163"/>
    <w:rsid w:val="21585909"/>
    <w:rsid w:val="215A276C"/>
    <w:rsid w:val="215C64E4"/>
    <w:rsid w:val="215F7D83"/>
    <w:rsid w:val="216058A9"/>
    <w:rsid w:val="216147D7"/>
    <w:rsid w:val="216730DD"/>
    <w:rsid w:val="21676C37"/>
    <w:rsid w:val="21681A4B"/>
    <w:rsid w:val="2168337C"/>
    <w:rsid w:val="216924A7"/>
    <w:rsid w:val="216D4F48"/>
    <w:rsid w:val="217223F6"/>
    <w:rsid w:val="21751354"/>
    <w:rsid w:val="217557F8"/>
    <w:rsid w:val="21780E68"/>
    <w:rsid w:val="21787096"/>
    <w:rsid w:val="217D03C6"/>
    <w:rsid w:val="217F7840"/>
    <w:rsid w:val="21843C8D"/>
    <w:rsid w:val="21857597"/>
    <w:rsid w:val="218654FC"/>
    <w:rsid w:val="2187293B"/>
    <w:rsid w:val="218743F6"/>
    <w:rsid w:val="21875469"/>
    <w:rsid w:val="21893F84"/>
    <w:rsid w:val="218A039B"/>
    <w:rsid w:val="218E68BA"/>
    <w:rsid w:val="218F5943"/>
    <w:rsid w:val="219043E0"/>
    <w:rsid w:val="219179D2"/>
    <w:rsid w:val="219252D2"/>
    <w:rsid w:val="21996EC3"/>
    <w:rsid w:val="219D08AB"/>
    <w:rsid w:val="219D27C8"/>
    <w:rsid w:val="219F0AC7"/>
    <w:rsid w:val="219F63D1"/>
    <w:rsid w:val="21A109F8"/>
    <w:rsid w:val="21A20F6F"/>
    <w:rsid w:val="21A309B6"/>
    <w:rsid w:val="21A32365"/>
    <w:rsid w:val="21A5084A"/>
    <w:rsid w:val="21A63029"/>
    <w:rsid w:val="21A732DB"/>
    <w:rsid w:val="21A810FD"/>
    <w:rsid w:val="21A86E06"/>
    <w:rsid w:val="21A8797C"/>
    <w:rsid w:val="21A97250"/>
    <w:rsid w:val="21AB746C"/>
    <w:rsid w:val="21AC13B4"/>
    <w:rsid w:val="21AE3327"/>
    <w:rsid w:val="21B31E7D"/>
    <w:rsid w:val="21B717A7"/>
    <w:rsid w:val="21BA145D"/>
    <w:rsid w:val="21BA4AD5"/>
    <w:rsid w:val="21BE2833"/>
    <w:rsid w:val="21BE2CFB"/>
    <w:rsid w:val="21C12BC2"/>
    <w:rsid w:val="21C12E44"/>
    <w:rsid w:val="21C9562C"/>
    <w:rsid w:val="21C978F2"/>
    <w:rsid w:val="21CD73E2"/>
    <w:rsid w:val="21D249F9"/>
    <w:rsid w:val="21D5567B"/>
    <w:rsid w:val="21D56297"/>
    <w:rsid w:val="21D56FAD"/>
    <w:rsid w:val="21D84564"/>
    <w:rsid w:val="21DC5877"/>
    <w:rsid w:val="21DC7D30"/>
    <w:rsid w:val="21DE15EF"/>
    <w:rsid w:val="21E07116"/>
    <w:rsid w:val="21E15E3D"/>
    <w:rsid w:val="21E169EA"/>
    <w:rsid w:val="21E20325"/>
    <w:rsid w:val="21E40288"/>
    <w:rsid w:val="21E5472C"/>
    <w:rsid w:val="21E7054D"/>
    <w:rsid w:val="21E8421C"/>
    <w:rsid w:val="21E9106C"/>
    <w:rsid w:val="21EA0995"/>
    <w:rsid w:val="21EA2904"/>
    <w:rsid w:val="21ED4C22"/>
    <w:rsid w:val="21ED697A"/>
    <w:rsid w:val="21FC5800"/>
    <w:rsid w:val="21FD36AD"/>
    <w:rsid w:val="21FE134A"/>
    <w:rsid w:val="21FF13E9"/>
    <w:rsid w:val="2201099D"/>
    <w:rsid w:val="22032E04"/>
    <w:rsid w:val="2206268E"/>
    <w:rsid w:val="220646A2"/>
    <w:rsid w:val="2208041A"/>
    <w:rsid w:val="220C7921"/>
    <w:rsid w:val="2210107D"/>
    <w:rsid w:val="2214677A"/>
    <w:rsid w:val="221548E5"/>
    <w:rsid w:val="22167576"/>
    <w:rsid w:val="221A066B"/>
    <w:rsid w:val="221C3EC6"/>
    <w:rsid w:val="221C6F1B"/>
    <w:rsid w:val="221D3172"/>
    <w:rsid w:val="222416AD"/>
    <w:rsid w:val="22291199"/>
    <w:rsid w:val="222A63A0"/>
    <w:rsid w:val="222B5EB7"/>
    <w:rsid w:val="222C235B"/>
    <w:rsid w:val="2230171F"/>
    <w:rsid w:val="22307FC7"/>
    <w:rsid w:val="2231039C"/>
    <w:rsid w:val="22311B57"/>
    <w:rsid w:val="2231369D"/>
    <w:rsid w:val="223473E3"/>
    <w:rsid w:val="223E5BEA"/>
    <w:rsid w:val="224376A4"/>
    <w:rsid w:val="22442DF3"/>
    <w:rsid w:val="224528D8"/>
    <w:rsid w:val="224C47AB"/>
    <w:rsid w:val="224C6605"/>
    <w:rsid w:val="225033DF"/>
    <w:rsid w:val="22534A8B"/>
    <w:rsid w:val="22564CAF"/>
    <w:rsid w:val="22572CB3"/>
    <w:rsid w:val="225735A2"/>
    <w:rsid w:val="225D67DB"/>
    <w:rsid w:val="225E0B23"/>
    <w:rsid w:val="225E6034"/>
    <w:rsid w:val="22631AF5"/>
    <w:rsid w:val="226338A3"/>
    <w:rsid w:val="22643228"/>
    <w:rsid w:val="226715E5"/>
    <w:rsid w:val="22682C67"/>
    <w:rsid w:val="2268710B"/>
    <w:rsid w:val="226A4595"/>
    <w:rsid w:val="226B4EBA"/>
    <w:rsid w:val="226C68B6"/>
    <w:rsid w:val="226F7689"/>
    <w:rsid w:val="227123D7"/>
    <w:rsid w:val="227564DA"/>
    <w:rsid w:val="227855A0"/>
    <w:rsid w:val="22791318"/>
    <w:rsid w:val="227C0AFB"/>
    <w:rsid w:val="227D38BF"/>
    <w:rsid w:val="227F0814"/>
    <w:rsid w:val="228026A7"/>
    <w:rsid w:val="22821F7B"/>
    <w:rsid w:val="22861BB7"/>
    <w:rsid w:val="22877CDC"/>
    <w:rsid w:val="228C2DF9"/>
    <w:rsid w:val="228D3F9E"/>
    <w:rsid w:val="228F2433"/>
    <w:rsid w:val="22922884"/>
    <w:rsid w:val="22947743"/>
    <w:rsid w:val="22974956"/>
    <w:rsid w:val="22980134"/>
    <w:rsid w:val="2298696D"/>
    <w:rsid w:val="22995CE0"/>
    <w:rsid w:val="229B0E74"/>
    <w:rsid w:val="229B46BF"/>
    <w:rsid w:val="229D630B"/>
    <w:rsid w:val="229D6DA2"/>
    <w:rsid w:val="22A31EF1"/>
    <w:rsid w:val="22A35196"/>
    <w:rsid w:val="22A7378F"/>
    <w:rsid w:val="22A80279"/>
    <w:rsid w:val="22A85759"/>
    <w:rsid w:val="22A87507"/>
    <w:rsid w:val="22AA0E98"/>
    <w:rsid w:val="22AC524A"/>
    <w:rsid w:val="22AD78FE"/>
    <w:rsid w:val="22AE1DE0"/>
    <w:rsid w:val="22B77AA6"/>
    <w:rsid w:val="22B934C3"/>
    <w:rsid w:val="22BB723B"/>
    <w:rsid w:val="22BD3ECB"/>
    <w:rsid w:val="22C0085B"/>
    <w:rsid w:val="22C02AA3"/>
    <w:rsid w:val="22C40D2C"/>
    <w:rsid w:val="22CA3922"/>
    <w:rsid w:val="22CB70E1"/>
    <w:rsid w:val="22CD79A9"/>
    <w:rsid w:val="22CE4D13"/>
    <w:rsid w:val="22D10941"/>
    <w:rsid w:val="22D15003"/>
    <w:rsid w:val="22D153F8"/>
    <w:rsid w:val="22D37206"/>
    <w:rsid w:val="22D66669"/>
    <w:rsid w:val="22D71DD3"/>
    <w:rsid w:val="22D76FB6"/>
    <w:rsid w:val="22DB021F"/>
    <w:rsid w:val="22DD3D55"/>
    <w:rsid w:val="22DF710B"/>
    <w:rsid w:val="22E70030"/>
    <w:rsid w:val="22EA7B20"/>
    <w:rsid w:val="22EC5646"/>
    <w:rsid w:val="22EF3388"/>
    <w:rsid w:val="22F56BF1"/>
    <w:rsid w:val="22F774F6"/>
    <w:rsid w:val="22FA160E"/>
    <w:rsid w:val="22FB1D2D"/>
    <w:rsid w:val="22FC6F46"/>
    <w:rsid w:val="22FF35CB"/>
    <w:rsid w:val="23005595"/>
    <w:rsid w:val="23024E6A"/>
    <w:rsid w:val="230B78F5"/>
    <w:rsid w:val="230F3298"/>
    <w:rsid w:val="231057D9"/>
    <w:rsid w:val="23152A1A"/>
    <w:rsid w:val="23171570"/>
    <w:rsid w:val="231A2BD7"/>
    <w:rsid w:val="231B417D"/>
    <w:rsid w:val="231E71D4"/>
    <w:rsid w:val="23200E69"/>
    <w:rsid w:val="23244DE0"/>
    <w:rsid w:val="232516C3"/>
    <w:rsid w:val="23252F74"/>
    <w:rsid w:val="23256DAA"/>
    <w:rsid w:val="23272B22"/>
    <w:rsid w:val="2329689A"/>
    <w:rsid w:val="232A43C0"/>
    <w:rsid w:val="23310414"/>
    <w:rsid w:val="233174FD"/>
    <w:rsid w:val="23337719"/>
    <w:rsid w:val="23360FB7"/>
    <w:rsid w:val="23391EBA"/>
    <w:rsid w:val="233A1A91"/>
    <w:rsid w:val="233D319B"/>
    <w:rsid w:val="233D5EA2"/>
    <w:rsid w:val="23410054"/>
    <w:rsid w:val="2342170A"/>
    <w:rsid w:val="23445066"/>
    <w:rsid w:val="234658DB"/>
    <w:rsid w:val="234975C0"/>
    <w:rsid w:val="234A2ACF"/>
    <w:rsid w:val="234A4691"/>
    <w:rsid w:val="234A554B"/>
    <w:rsid w:val="234C07DB"/>
    <w:rsid w:val="234C6382"/>
    <w:rsid w:val="234F0322"/>
    <w:rsid w:val="234F5BD5"/>
    <w:rsid w:val="234F77A9"/>
    <w:rsid w:val="235333B2"/>
    <w:rsid w:val="23544653"/>
    <w:rsid w:val="235672E0"/>
    <w:rsid w:val="235A18FE"/>
    <w:rsid w:val="235C3E0E"/>
    <w:rsid w:val="235D02F2"/>
    <w:rsid w:val="235D6D71"/>
    <w:rsid w:val="23627FFE"/>
    <w:rsid w:val="23630A42"/>
    <w:rsid w:val="236817F3"/>
    <w:rsid w:val="236B5E9B"/>
    <w:rsid w:val="236C49D9"/>
    <w:rsid w:val="237044C9"/>
    <w:rsid w:val="23717CFC"/>
    <w:rsid w:val="237402E6"/>
    <w:rsid w:val="23745932"/>
    <w:rsid w:val="23777571"/>
    <w:rsid w:val="2378419A"/>
    <w:rsid w:val="237F0E48"/>
    <w:rsid w:val="238241FC"/>
    <w:rsid w:val="23843AD1"/>
    <w:rsid w:val="23855A84"/>
    <w:rsid w:val="238729F3"/>
    <w:rsid w:val="238B7CAD"/>
    <w:rsid w:val="238C6E29"/>
    <w:rsid w:val="238E5518"/>
    <w:rsid w:val="23902C11"/>
    <w:rsid w:val="23935A58"/>
    <w:rsid w:val="239B0E1A"/>
    <w:rsid w:val="239F1FE4"/>
    <w:rsid w:val="23A128D5"/>
    <w:rsid w:val="23AB059A"/>
    <w:rsid w:val="23AC478C"/>
    <w:rsid w:val="23AD0F3F"/>
    <w:rsid w:val="23AD74CB"/>
    <w:rsid w:val="23AE50AA"/>
    <w:rsid w:val="23B00A44"/>
    <w:rsid w:val="23B2099F"/>
    <w:rsid w:val="23B26BBA"/>
    <w:rsid w:val="23B64AA1"/>
    <w:rsid w:val="23BA5744"/>
    <w:rsid w:val="23BB596C"/>
    <w:rsid w:val="23C5220A"/>
    <w:rsid w:val="23C5627E"/>
    <w:rsid w:val="23C860B3"/>
    <w:rsid w:val="23C91E2B"/>
    <w:rsid w:val="23C92452"/>
    <w:rsid w:val="23C9425D"/>
    <w:rsid w:val="23CB6D55"/>
    <w:rsid w:val="23CB7951"/>
    <w:rsid w:val="23CD36CA"/>
    <w:rsid w:val="23CF00AC"/>
    <w:rsid w:val="23CF6548"/>
    <w:rsid w:val="23D0028D"/>
    <w:rsid w:val="23D06D16"/>
    <w:rsid w:val="23D22A8E"/>
    <w:rsid w:val="23D36806"/>
    <w:rsid w:val="23D5257E"/>
    <w:rsid w:val="23D95F91"/>
    <w:rsid w:val="23DB5282"/>
    <w:rsid w:val="23DD76E2"/>
    <w:rsid w:val="23DF2A1D"/>
    <w:rsid w:val="23E11144"/>
    <w:rsid w:val="23E26A49"/>
    <w:rsid w:val="23E427C1"/>
    <w:rsid w:val="23EC2F12"/>
    <w:rsid w:val="23ED1676"/>
    <w:rsid w:val="23ED78C8"/>
    <w:rsid w:val="23EF2B32"/>
    <w:rsid w:val="23F32A04"/>
    <w:rsid w:val="23F52C20"/>
    <w:rsid w:val="23F65E94"/>
    <w:rsid w:val="23F8409F"/>
    <w:rsid w:val="23FA4F40"/>
    <w:rsid w:val="23FB741C"/>
    <w:rsid w:val="23FE329D"/>
    <w:rsid w:val="23FF3DF5"/>
    <w:rsid w:val="23FF584D"/>
    <w:rsid w:val="23FF6D26"/>
    <w:rsid w:val="23FF7982"/>
    <w:rsid w:val="240152D3"/>
    <w:rsid w:val="24023393"/>
    <w:rsid w:val="240264CC"/>
    <w:rsid w:val="240367BA"/>
    <w:rsid w:val="24046BE9"/>
    <w:rsid w:val="24047F88"/>
    <w:rsid w:val="2406098A"/>
    <w:rsid w:val="2408743E"/>
    <w:rsid w:val="240E38F0"/>
    <w:rsid w:val="240E49EB"/>
    <w:rsid w:val="24121FBA"/>
    <w:rsid w:val="241237D2"/>
    <w:rsid w:val="24123B89"/>
    <w:rsid w:val="241412F8"/>
    <w:rsid w:val="24156ECE"/>
    <w:rsid w:val="24162F75"/>
    <w:rsid w:val="2416567A"/>
    <w:rsid w:val="24171DE1"/>
    <w:rsid w:val="24172B97"/>
    <w:rsid w:val="241A1B83"/>
    <w:rsid w:val="241C01AD"/>
    <w:rsid w:val="241E3F25"/>
    <w:rsid w:val="24200C35"/>
    <w:rsid w:val="24203CEC"/>
    <w:rsid w:val="24207C9D"/>
    <w:rsid w:val="242224D0"/>
    <w:rsid w:val="24253438"/>
    <w:rsid w:val="24255B5D"/>
    <w:rsid w:val="2426102C"/>
    <w:rsid w:val="24284DA4"/>
    <w:rsid w:val="242B1FA8"/>
    <w:rsid w:val="242B2C0C"/>
    <w:rsid w:val="242B6642"/>
    <w:rsid w:val="242C21A7"/>
    <w:rsid w:val="242C5DD8"/>
    <w:rsid w:val="24311EAA"/>
    <w:rsid w:val="2432352D"/>
    <w:rsid w:val="24340D63"/>
    <w:rsid w:val="24383E6A"/>
    <w:rsid w:val="24390D5F"/>
    <w:rsid w:val="24392B0D"/>
    <w:rsid w:val="243C084F"/>
    <w:rsid w:val="243E3C10"/>
    <w:rsid w:val="244009AF"/>
    <w:rsid w:val="24426D1A"/>
    <w:rsid w:val="244328FB"/>
    <w:rsid w:val="24442EA8"/>
    <w:rsid w:val="24461ED1"/>
    <w:rsid w:val="244A2F6C"/>
    <w:rsid w:val="244B276F"/>
    <w:rsid w:val="244C1FDF"/>
    <w:rsid w:val="244C492F"/>
    <w:rsid w:val="244D4764"/>
    <w:rsid w:val="244F484B"/>
    <w:rsid w:val="245060A9"/>
    <w:rsid w:val="24523BCF"/>
    <w:rsid w:val="245440D2"/>
    <w:rsid w:val="24584674"/>
    <w:rsid w:val="245931AF"/>
    <w:rsid w:val="2459433A"/>
    <w:rsid w:val="245B0CC3"/>
    <w:rsid w:val="245B560E"/>
    <w:rsid w:val="245C63EC"/>
    <w:rsid w:val="245D3D54"/>
    <w:rsid w:val="245D6124"/>
    <w:rsid w:val="245E11AE"/>
    <w:rsid w:val="245F0DC4"/>
    <w:rsid w:val="2460453E"/>
    <w:rsid w:val="246223DC"/>
    <w:rsid w:val="246946AB"/>
    <w:rsid w:val="246A0F18"/>
    <w:rsid w:val="246B4B92"/>
    <w:rsid w:val="246D6C5B"/>
    <w:rsid w:val="246F1853"/>
    <w:rsid w:val="247022A7"/>
    <w:rsid w:val="247104F9"/>
    <w:rsid w:val="24714C6C"/>
    <w:rsid w:val="24765A69"/>
    <w:rsid w:val="247744F4"/>
    <w:rsid w:val="247A797F"/>
    <w:rsid w:val="247B4ED4"/>
    <w:rsid w:val="247D6D03"/>
    <w:rsid w:val="247D7B02"/>
    <w:rsid w:val="247E49C4"/>
    <w:rsid w:val="248144B4"/>
    <w:rsid w:val="24843087"/>
    <w:rsid w:val="2486175A"/>
    <w:rsid w:val="24876E2E"/>
    <w:rsid w:val="24877D1C"/>
    <w:rsid w:val="24885842"/>
    <w:rsid w:val="248D10AB"/>
    <w:rsid w:val="248E035C"/>
    <w:rsid w:val="24942439"/>
    <w:rsid w:val="24945F95"/>
    <w:rsid w:val="24950EDC"/>
    <w:rsid w:val="24960C15"/>
    <w:rsid w:val="24982A35"/>
    <w:rsid w:val="24997A50"/>
    <w:rsid w:val="249B2529"/>
    <w:rsid w:val="249E2184"/>
    <w:rsid w:val="249E5066"/>
    <w:rsid w:val="24A03B45"/>
    <w:rsid w:val="24A0493A"/>
    <w:rsid w:val="24A106B2"/>
    <w:rsid w:val="24A227F2"/>
    <w:rsid w:val="24A26904"/>
    <w:rsid w:val="24A77248"/>
    <w:rsid w:val="24AC6A49"/>
    <w:rsid w:val="24B20F4B"/>
    <w:rsid w:val="24B228BF"/>
    <w:rsid w:val="24BB0194"/>
    <w:rsid w:val="24BC2A75"/>
    <w:rsid w:val="24BE3012"/>
    <w:rsid w:val="24C148B0"/>
    <w:rsid w:val="24C22B02"/>
    <w:rsid w:val="24C26654"/>
    <w:rsid w:val="24C42691"/>
    <w:rsid w:val="24C83E91"/>
    <w:rsid w:val="24C96057"/>
    <w:rsid w:val="24CA5E5B"/>
    <w:rsid w:val="24CB4573"/>
    <w:rsid w:val="24CC1BD3"/>
    <w:rsid w:val="24CD16AB"/>
    <w:rsid w:val="24CF66A1"/>
    <w:rsid w:val="24D12FBE"/>
    <w:rsid w:val="24D21C04"/>
    <w:rsid w:val="24D32F62"/>
    <w:rsid w:val="24D434BF"/>
    <w:rsid w:val="24D43737"/>
    <w:rsid w:val="24D52494"/>
    <w:rsid w:val="24D710A5"/>
    <w:rsid w:val="24D77915"/>
    <w:rsid w:val="24DB4137"/>
    <w:rsid w:val="24DB5972"/>
    <w:rsid w:val="24DC6BA4"/>
    <w:rsid w:val="24DD793C"/>
    <w:rsid w:val="24E348AC"/>
    <w:rsid w:val="24E51660"/>
    <w:rsid w:val="24E60B6F"/>
    <w:rsid w:val="24EB2048"/>
    <w:rsid w:val="24ED38F7"/>
    <w:rsid w:val="24EE7D9B"/>
    <w:rsid w:val="24F44481"/>
    <w:rsid w:val="24F5112A"/>
    <w:rsid w:val="24F56177"/>
    <w:rsid w:val="24F84776"/>
    <w:rsid w:val="24F876B9"/>
    <w:rsid w:val="24FC5459"/>
    <w:rsid w:val="25030FB2"/>
    <w:rsid w:val="25036D5B"/>
    <w:rsid w:val="25062893"/>
    <w:rsid w:val="250749B9"/>
    <w:rsid w:val="250A44A9"/>
    <w:rsid w:val="250A62B8"/>
    <w:rsid w:val="250F7D12"/>
    <w:rsid w:val="25145328"/>
    <w:rsid w:val="25162E4E"/>
    <w:rsid w:val="25164431"/>
    <w:rsid w:val="2519649B"/>
    <w:rsid w:val="251A2777"/>
    <w:rsid w:val="251C3C80"/>
    <w:rsid w:val="251F61A7"/>
    <w:rsid w:val="252437BD"/>
    <w:rsid w:val="2524556B"/>
    <w:rsid w:val="25271F75"/>
    <w:rsid w:val="252B1EC8"/>
    <w:rsid w:val="252C2672"/>
    <w:rsid w:val="252D2E87"/>
    <w:rsid w:val="252E63EA"/>
    <w:rsid w:val="252F1C88"/>
    <w:rsid w:val="2532046E"/>
    <w:rsid w:val="253417DD"/>
    <w:rsid w:val="253909CD"/>
    <w:rsid w:val="253A1D18"/>
    <w:rsid w:val="253A2D18"/>
    <w:rsid w:val="253F18DD"/>
    <w:rsid w:val="25480A0C"/>
    <w:rsid w:val="254B3A4A"/>
    <w:rsid w:val="254B6F9C"/>
    <w:rsid w:val="254E25E8"/>
    <w:rsid w:val="25502DA9"/>
    <w:rsid w:val="2551032A"/>
    <w:rsid w:val="25536561"/>
    <w:rsid w:val="25537BFE"/>
    <w:rsid w:val="25571EF9"/>
    <w:rsid w:val="255C4A34"/>
    <w:rsid w:val="255E218C"/>
    <w:rsid w:val="255E41D9"/>
    <w:rsid w:val="256040C9"/>
    <w:rsid w:val="25627E42"/>
    <w:rsid w:val="2563486C"/>
    <w:rsid w:val="2564005E"/>
    <w:rsid w:val="25650FDA"/>
    <w:rsid w:val="25657932"/>
    <w:rsid w:val="256911D0"/>
    <w:rsid w:val="256E0324"/>
    <w:rsid w:val="256E2282"/>
    <w:rsid w:val="2572001A"/>
    <w:rsid w:val="2572277A"/>
    <w:rsid w:val="25745350"/>
    <w:rsid w:val="25747DCA"/>
    <w:rsid w:val="25781413"/>
    <w:rsid w:val="257A73BB"/>
    <w:rsid w:val="257C53A7"/>
    <w:rsid w:val="257E2025"/>
    <w:rsid w:val="257F58B9"/>
    <w:rsid w:val="2580476C"/>
    <w:rsid w:val="25826A53"/>
    <w:rsid w:val="25857CB1"/>
    <w:rsid w:val="25873D4C"/>
    <w:rsid w:val="258B6033"/>
    <w:rsid w:val="258E75D2"/>
    <w:rsid w:val="258F1B44"/>
    <w:rsid w:val="258F35BA"/>
    <w:rsid w:val="25904497"/>
    <w:rsid w:val="25964FFE"/>
    <w:rsid w:val="25973F8F"/>
    <w:rsid w:val="259843E9"/>
    <w:rsid w:val="259A5B2C"/>
    <w:rsid w:val="259B2177"/>
    <w:rsid w:val="25A167AD"/>
    <w:rsid w:val="25A26132"/>
    <w:rsid w:val="25A52800"/>
    <w:rsid w:val="25A62424"/>
    <w:rsid w:val="25AB7486"/>
    <w:rsid w:val="25AC5561"/>
    <w:rsid w:val="25B85CB3"/>
    <w:rsid w:val="25BB4EA0"/>
    <w:rsid w:val="25BC0B3F"/>
    <w:rsid w:val="25BE3623"/>
    <w:rsid w:val="25C1100C"/>
    <w:rsid w:val="25C14E25"/>
    <w:rsid w:val="25C320D7"/>
    <w:rsid w:val="25C55C20"/>
    <w:rsid w:val="25C82EAE"/>
    <w:rsid w:val="25C934C2"/>
    <w:rsid w:val="25C94365"/>
    <w:rsid w:val="25C96113"/>
    <w:rsid w:val="25CC175F"/>
    <w:rsid w:val="25D0124F"/>
    <w:rsid w:val="25D27CA6"/>
    <w:rsid w:val="25D31972"/>
    <w:rsid w:val="25D32AED"/>
    <w:rsid w:val="25D52D09"/>
    <w:rsid w:val="25D81103"/>
    <w:rsid w:val="25DA5C38"/>
    <w:rsid w:val="25DB76D4"/>
    <w:rsid w:val="25DD571A"/>
    <w:rsid w:val="25DF401D"/>
    <w:rsid w:val="25E20610"/>
    <w:rsid w:val="25E24788"/>
    <w:rsid w:val="25E25DA3"/>
    <w:rsid w:val="25E601FA"/>
    <w:rsid w:val="25E87895"/>
    <w:rsid w:val="25ED0053"/>
    <w:rsid w:val="25EE0A84"/>
    <w:rsid w:val="25F13D5F"/>
    <w:rsid w:val="25F63DD5"/>
    <w:rsid w:val="25F75D17"/>
    <w:rsid w:val="25F93ED3"/>
    <w:rsid w:val="25FA451E"/>
    <w:rsid w:val="25FC4727"/>
    <w:rsid w:val="2601765A"/>
    <w:rsid w:val="26025181"/>
    <w:rsid w:val="2602559D"/>
    <w:rsid w:val="26031625"/>
    <w:rsid w:val="26086E9E"/>
    <w:rsid w:val="260B2051"/>
    <w:rsid w:val="260F43F0"/>
    <w:rsid w:val="2610694C"/>
    <w:rsid w:val="261369A3"/>
    <w:rsid w:val="26144C91"/>
    <w:rsid w:val="261508BB"/>
    <w:rsid w:val="26172948"/>
    <w:rsid w:val="26192CD6"/>
    <w:rsid w:val="26194D69"/>
    <w:rsid w:val="261A4BC0"/>
    <w:rsid w:val="261D1FBA"/>
    <w:rsid w:val="261F5827"/>
    <w:rsid w:val="2620625E"/>
    <w:rsid w:val="262477ED"/>
    <w:rsid w:val="26256A19"/>
    <w:rsid w:val="26285F99"/>
    <w:rsid w:val="262A4140"/>
    <w:rsid w:val="26303AC6"/>
    <w:rsid w:val="263122AC"/>
    <w:rsid w:val="26320A21"/>
    <w:rsid w:val="26321F0A"/>
    <w:rsid w:val="26325F07"/>
    <w:rsid w:val="26343CAA"/>
    <w:rsid w:val="263712CE"/>
    <w:rsid w:val="26377520"/>
    <w:rsid w:val="263854A9"/>
    <w:rsid w:val="263957E8"/>
    <w:rsid w:val="263A0DBE"/>
    <w:rsid w:val="263C4B36"/>
    <w:rsid w:val="263E2E7F"/>
    <w:rsid w:val="2640208A"/>
    <w:rsid w:val="26445799"/>
    <w:rsid w:val="2645651E"/>
    <w:rsid w:val="26487037"/>
    <w:rsid w:val="26502390"/>
    <w:rsid w:val="26514BB4"/>
    <w:rsid w:val="26526A5F"/>
    <w:rsid w:val="265E46D1"/>
    <w:rsid w:val="266429C9"/>
    <w:rsid w:val="26663961"/>
    <w:rsid w:val="26695200"/>
    <w:rsid w:val="266A3452"/>
    <w:rsid w:val="266D2F42"/>
    <w:rsid w:val="266E5342"/>
    <w:rsid w:val="266F7649"/>
    <w:rsid w:val="26712670"/>
    <w:rsid w:val="26743080"/>
    <w:rsid w:val="267C5C24"/>
    <w:rsid w:val="268122F1"/>
    <w:rsid w:val="2685195A"/>
    <w:rsid w:val="26855C00"/>
    <w:rsid w:val="268B131A"/>
    <w:rsid w:val="268B2C01"/>
    <w:rsid w:val="26914E82"/>
    <w:rsid w:val="269211D9"/>
    <w:rsid w:val="269236F4"/>
    <w:rsid w:val="26923D10"/>
    <w:rsid w:val="269427E9"/>
    <w:rsid w:val="2696493D"/>
    <w:rsid w:val="269A673A"/>
    <w:rsid w:val="269E53BF"/>
    <w:rsid w:val="26A01E59"/>
    <w:rsid w:val="26A33371"/>
    <w:rsid w:val="26A557FB"/>
    <w:rsid w:val="26A632A5"/>
    <w:rsid w:val="26A745E4"/>
    <w:rsid w:val="26AC6B3A"/>
    <w:rsid w:val="26AE7F16"/>
    <w:rsid w:val="26B059EB"/>
    <w:rsid w:val="26B41BEF"/>
    <w:rsid w:val="26B84358"/>
    <w:rsid w:val="26BD75E7"/>
    <w:rsid w:val="26BE19EF"/>
    <w:rsid w:val="26C54B2C"/>
    <w:rsid w:val="26C57E06"/>
    <w:rsid w:val="26C76E60"/>
    <w:rsid w:val="26C80311"/>
    <w:rsid w:val="26CB738B"/>
    <w:rsid w:val="26CC4AE2"/>
    <w:rsid w:val="26CD23C6"/>
    <w:rsid w:val="26CD4687"/>
    <w:rsid w:val="26D10020"/>
    <w:rsid w:val="26D11542"/>
    <w:rsid w:val="26D34980"/>
    <w:rsid w:val="26D51516"/>
    <w:rsid w:val="26D7485F"/>
    <w:rsid w:val="26D77646"/>
    <w:rsid w:val="26DA6DF7"/>
    <w:rsid w:val="26DD00C8"/>
    <w:rsid w:val="26DF00CE"/>
    <w:rsid w:val="26E05BA7"/>
    <w:rsid w:val="26E33204"/>
    <w:rsid w:val="26E52B87"/>
    <w:rsid w:val="26EA00EF"/>
    <w:rsid w:val="26EC6A10"/>
    <w:rsid w:val="26EC6FB3"/>
    <w:rsid w:val="26ED09EC"/>
    <w:rsid w:val="26ED5E31"/>
    <w:rsid w:val="26EE1FC0"/>
    <w:rsid w:val="26F05D70"/>
    <w:rsid w:val="26F23447"/>
    <w:rsid w:val="26F63F3C"/>
    <w:rsid w:val="26F8256A"/>
    <w:rsid w:val="26F91B9C"/>
    <w:rsid w:val="26FC5086"/>
    <w:rsid w:val="26FC6074"/>
    <w:rsid w:val="26FE1DEC"/>
    <w:rsid w:val="26FF3FA9"/>
    <w:rsid w:val="27003DB6"/>
    <w:rsid w:val="2701242C"/>
    <w:rsid w:val="27027B2E"/>
    <w:rsid w:val="270311B0"/>
    <w:rsid w:val="270670D3"/>
    <w:rsid w:val="270C2663"/>
    <w:rsid w:val="27105E9F"/>
    <w:rsid w:val="27127FCD"/>
    <w:rsid w:val="271377A0"/>
    <w:rsid w:val="2714160F"/>
    <w:rsid w:val="27161854"/>
    <w:rsid w:val="27167136"/>
    <w:rsid w:val="271909D4"/>
    <w:rsid w:val="27195BF7"/>
    <w:rsid w:val="271968FD"/>
    <w:rsid w:val="271A5A3B"/>
    <w:rsid w:val="271B474C"/>
    <w:rsid w:val="271D6716"/>
    <w:rsid w:val="27214498"/>
    <w:rsid w:val="27217176"/>
    <w:rsid w:val="27283D63"/>
    <w:rsid w:val="2729330D"/>
    <w:rsid w:val="272B7390"/>
    <w:rsid w:val="272C709C"/>
    <w:rsid w:val="272E2E65"/>
    <w:rsid w:val="272E52D3"/>
    <w:rsid w:val="272F6449"/>
    <w:rsid w:val="273322AF"/>
    <w:rsid w:val="27335B1A"/>
    <w:rsid w:val="27340957"/>
    <w:rsid w:val="27342114"/>
    <w:rsid w:val="27366A2D"/>
    <w:rsid w:val="27383FAC"/>
    <w:rsid w:val="273852FE"/>
    <w:rsid w:val="27391076"/>
    <w:rsid w:val="273B326A"/>
    <w:rsid w:val="273B34AE"/>
    <w:rsid w:val="273B6B81"/>
    <w:rsid w:val="273D0BA0"/>
    <w:rsid w:val="273E043A"/>
    <w:rsid w:val="27424E42"/>
    <w:rsid w:val="27441678"/>
    <w:rsid w:val="27441EF5"/>
    <w:rsid w:val="27467EAB"/>
    <w:rsid w:val="2747110B"/>
    <w:rsid w:val="274775F6"/>
    <w:rsid w:val="274863AD"/>
    <w:rsid w:val="274A6DDF"/>
    <w:rsid w:val="274D619D"/>
    <w:rsid w:val="274E68CF"/>
    <w:rsid w:val="274F0899"/>
    <w:rsid w:val="27502468"/>
    <w:rsid w:val="2752650A"/>
    <w:rsid w:val="275442CF"/>
    <w:rsid w:val="27562F05"/>
    <w:rsid w:val="27594FDF"/>
    <w:rsid w:val="2759693C"/>
    <w:rsid w:val="275B723E"/>
    <w:rsid w:val="275E52BE"/>
    <w:rsid w:val="275F0ADD"/>
    <w:rsid w:val="275F1119"/>
    <w:rsid w:val="27603CC8"/>
    <w:rsid w:val="27624129"/>
    <w:rsid w:val="27651E6B"/>
    <w:rsid w:val="27660328"/>
    <w:rsid w:val="276A5681"/>
    <w:rsid w:val="276C31F9"/>
    <w:rsid w:val="276D4A08"/>
    <w:rsid w:val="276D6D1F"/>
    <w:rsid w:val="276E2ACE"/>
    <w:rsid w:val="276F4FDB"/>
    <w:rsid w:val="2773603D"/>
    <w:rsid w:val="27736336"/>
    <w:rsid w:val="27746F19"/>
    <w:rsid w:val="27780568"/>
    <w:rsid w:val="277C0BF2"/>
    <w:rsid w:val="277E3CC9"/>
    <w:rsid w:val="27813070"/>
    <w:rsid w:val="27867367"/>
    <w:rsid w:val="2787233D"/>
    <w:rsid w:val="27873B8F"/>
    <w:rsid w:val="27896C1C"/>
    <w:rsid w:val="278C4461"/>
    <w:rsid w:val="278E0560"/>
    <w:rsid w:val="279369D8"/>
    <w:rsid w:val="279851BD"/>
    <w:rsid w:val="279A2941"/>
    <w:rsid w:val="279A6C64"/>
    <w:rsid w:val="279C4FB9"/>
    <w:rsid w:val="279D108B"/>
    <w:rsid w:val="27A04C51"/>
    <w:rsid w:val="27A971FE"/>
    <w:rsid w:val="27AC2A74"/>
    <w:rsid w:val="27AC5AF6"/>
    <w:rsid w:val="27AC7A9A"/>
    <w:rsid w:val="27B01338"/>
    <w:rsid w:val="27B30E28"/>
    <w:rsid w:val="27B526A7"/>
    <w:rsid w:val="27B626C7"/>
    <w:rsid w:val="27C22E19"/>
    <w:rsid w:val="27C301E3"/>
    <w:rsid w:val="27C46B92"/>
    <w:rsid w:val="27C923FA"/>
    <w:rsid w:val="27CB6172"/>
    <w:rsid w:val="27CB7F20"/>
    <w:rsid w:val="27CD0134"/>
    <w:rsid w:val="27CD4404"/>
    <w:rsid w:val="27D74B17"/>
    <w:rsid w:val="27D928A0"/>
    <w:rsid w:val="27D95D4F"/>
    <w:rsid w:val="27DA0163"/>
    <w:rsid w:val="27DA63B5"/>
    <w:rsid w:val="27DB5D17"/>
    <w:rsid w:val="27DC212D"/>
    <w:rsid w:val="27DC21EE"/>
    <w:rsid w:val="27DF50ED"/>
    <w:rsid w:val="27E06A89"/>
    <w:rsid w:val="27E50145"/>
    <w:rsid w:val="27E64D5A"/>
    <w:rsid w:val="27E977B5"/>
    <w:rsid w:val="27EA5E92"/>
    <w:rsid w:val="27EE00B2"/>
    <w:rsid w:val="27F52B2A"/>
    <w:rsid w:val="27F54AF2"/>
    <w:rsid w:val="27F64683"/>
    <w:rsid w:val="27F84A8D"/>
    <w:rsid w:val="27FA68D1"/>
    <w:rsid w:val="27FA6A57"/>
    <w:rsid w:val="27FC6420"/>
    <w:rsid w:val="27FE6547"/>
    <w:rsid w:val="280012BD"/>
    <w:rsid w:val="28034ED5"/>
    <w:rsid w:val="280653FC"/>
    <w:rsid w:val="28082116"/>
    <w:rsid w:val="280A5199"/>
    <w:rsid w:val="280B1A8C"/>
    <w:rsid w:val="280C22E7"/>
    <w:rsid w:val="280E2503"/>
    <w:rsid w:val="280F37E7"/>
    <w:rsid w:val="28110190"/>
    <w:rsid w:val="28115C9B"/>
    <w:rsid w:val="28126137"/>
    <w:rsid w:val="28137F0A"/>
    <w:rsid w:val="28171FF2"/>
    <w:rsid w:val="281C4C20"/>
    <w:rsid w:val="281D0B48"/>
    <w:rsid w:val="281E5737"/>
    <w:rsid w:val="281E6C37"/>
    <w:rsid w:val="281F64BE"/>
    <w:rsid w:val="28202402"/>
    <w:rsid w:val="28212236"/>
    <w:rsid w:val="2823647B"/>
    <w:rsid w:val="28242DB4"/>
    <w:rsid w:val="28270715"/>
    <w:rsid w:val="28277120"/>
    <w:rsid w:val="283006CB"/>
    <w:rsid w:val="28335C12"/>
    <w:rsid w:val="2839016A"/>
    <w:rsid w:val="283E7C0F"/>
    <w:rsid w:val="28423E98"/>
    <w:rsid w:val="284866D5"/>
    <w:rsid w:val="28493E14"/>
    <w:rsid w:val="284B389D"/>
    <w:rsid w:val="284C7F3C"/>
    <w:rsid w:val="284D4DD9"/>
    <w:rsid w:val="284D6B87"/>
    <w:rsid w:val="284E0017"/>
    <w:rsid w:val="284F6DA3"/>
    <w:rsid w:val="2853561E"/>
    <w:rsid w:val="285443B9"/>
    <w:rsid w:val="28546812"/>
    <w:rsid w:val="28550131"/>
    <w:rsid w:val="285508BC"/>
    <w:rsid w:val="28552542"/>
    <w:rsid w:val="28563406"/>
    <w:rsid w:val="285641F6"/>
    <w:rsid w:val="28570A7F"/>
    <w:rsid w:val="285B5517"/>
    <w:rsid w:val="285B5982"/>
    <w:rsid w:val="285C14C0"/>
    <w:rsid w:val="285C326E"/>
    <w:rsid w:val="285C6DCA"/>
    <w:rsid w:val="285D2B42"/>
    <w:rsid w:val="285F5AEF"/>
    <w:rsid w:val="285F693D"/>
    <w:rsid w:val="28623185"/>
    <w:rsid w:val="28643FB1"/>
    <w:rsid w:val="286640ED"/>
    <w:rsid w:val="286C44D0"/>
    <w:rsid w:val="286D085F"/>
    <w:rsid w:val="286E1D7A"/>
    <w:rsid w:val="286F41C5"/>
    <w:rsid w:val="2870230B"/>
    <w:rsid w:val="28702875"/>
    <w:rsid w:val="28724840"/>
    <w:rsid w:val="28735DC9"/>
    <w:rsid w:val="28735DDF"/>
    <w:rsid w:val="287560DE"/>
    <w:rsid w:val="287700A8"/>
    <w:rsid w:val="28785E60"/>
    <w:rsid w:val="28795BCE"/>
    <w:rsid w:val="287B7472"/>
    <w:rsid w:val="287C0CB5"/>
    <w:rsid w:val="287F018B"/>
    <w:rsid w:val="2880270D"/>
    <w:rsid w:val="288112FA"/>
    <w:rsid w:val="288308CD"/>
    <w:rsid w:val="28832AC7"/>
    <w:rsid w:val="28851BCF"/>
    <w:rsid w:val="28871DAC"/>
    <w:rsid w:val="2887212D"/>
    <w:rsid w:val="28883068"/>
    <w:rsid w:val="28896B67"/>
    <w:rsid w:val="288B278A"/>
    <w:rsid w:val="288E0F4E"/>
    <w:rsid w:val="289064C0"/>
    <w:rsid w:val="2893568F"/>
    <w:rsid w:val="289632BD"/>
    <w:rsid w:val="289724F8"/>
    <w:rsid w:val="28986A4A"/>
    <w:rsid w:val="28A35F08"/>
    <w:rsid w:val="28A57362"/>
    <w:rsid w:val="28A71D5D"/>
    <w:rsid w:val="28A8482F"/>
    <w:rsid w:val="28AB5EA7"/>
    <w:rsid w:val="28AD5878"/>
    <w:rsid w:val="28AD7A52"/>
    <w:rsid w:val="28AF028C"/>
    <w:rsid w:val="28B430AA"/>
    <w:rsid w:val="28B5014D"/>
    <w:rsid w:val="28B5472C"/>
    <w:rsid w:val="28B74F92"/>
    <w:rsid w:val="28BB4A53"/>
    <w:rsid w:val="28C01A4F"/>
    <w:rsid w:val="28C21CCE"/>
    <w:rsid w:val="28C25CD5"/>
    <w:rsid w:val="28C616D2"/>
    <w:rsid w:val="28C6405D"/>
    <w:rsid w:val="28C66939"/>
    <w:rsid w:val="28CB3F50"/>
    <w:rsid w:val="28CC737B"/>
    <w:rsid w:val="28CD1A76"/>
    <w:rsid w:val="28CE3097"/>
    <w:rsid w:val="28D25E68"/>
    <w:rsid w:val="28D27122"/>
    <w:rsid w:val="28D56B7C"/>
    <w:rsid w:val="28D63020"/>
    <w:rsid w:val="28DA2336"/>
    <w:rsid w:val="28DA4193"/>
    <w:rsid w:val="28DB606D"/>
    <w:rsid w:val="28DC615D"/>
    <w:rsid w:val="28DE01BC"/>
    <w:rsid w:val="28E36FAE"/>
    <w:rsid w:val="28E50DFC"/>
    <w:rsid w:val="28E514B5"/>
    <w:rsid w:val="28E67063"/>
    <w:rsid w:val="28E75913"/>
    <w:rsid w:val="28EA6ACC"/>
    <w:rsid w:val="28EB46C6"/>
    <w:rsid w:val="28ED6CB4"/>
    <w:rsid w:val="28EE59D5"/>
    <w:rsid w:val="28EF60EE"/>
    <w:rsid w:val="28F17E5A"/>
    <w:rsid w:val="28F92C9B"/>
    <w:rsid w:val="28F97E28"/>
    <w:rsid w:val="28FA522A"/>
    <w:rsid w:val="28FD67FF"/>
    <w:rsid w:val="28FE5B6C"/>
    <w:rsid w:val="290258B3"/>
    <w:rsid w:val="29057462"/>
    <w:rsid w:val="29080D00"/>
    <w:rsid w:val="290A1443"/>
    <w:rsid w:val="290B56D8"/>
    <w:rsid w:val="290D4568"/>
    <w:rsid w:val="290E28AD"/>
    <w:rsid w:val="291353A9"/>
    <w:rsid w:val="29194590"/>
    <w:rsid w:val="291B6C85"/>
    <w:rsid w:val="291D42FA"/>
    <w:rsid w:val="291E0E47"/>
    <w:rsid w:val="291E22D1"/>
    <w:rsid w:val="291F7802"/>
    <w:rsid w:val="291F7A94"/>
    <w:rsid w:val="29207F2A"/>
    <w:rsid w:val="2922019F"/>
    <w:rsid w:val="29235A06"/>
    <w:rsid w:val="29262FE8"/>
    <w:rsid w:val="29264968"/>
    <w:rsid w:val="29264CF8"/>
    <w:rsid w:val="292751AC"/>
    <w:rsid w:val="292875F4"/>
    <w:rsid w:val="292974A9"/>
    <w:rsid w:val="29313BC5"/>
    <w:rsid w:val="29355772"/>
    <w:rsid w:val="29373393"/>
    <w:rsid w:val="2937398B"/>
    <w:rsid w:val="293C5725"/>
    <w:rsid w:val="293D150D"/>
    <w:rsid w:val="293D2E3D"/>
    <w:rsid w:val="293D57C1"/>
    <w:rsid w:val="293E4722"/>
    <w:rsid w:val="2940059F"/>
    <w:rsid w:val="29403D01"/>
    <w:rsid w:val="294206B6"/>
    <w:rsid w:val="294218D6"/>
    <w:rsid w:val="29450C21"/>
    <w:rsid w:val="29460154"/>
    <w:rsid w:val="29470940"/>
    <w:rsid w:val="2948629C"/>
    <w:rsid w:val="294D3731"/>
    <w:rsid w:val="295104DF"/>
    <w:rsid w:val="29564161"/>
    <w:rsid w:val="29571C24"/>
    <w:rsid w:val="29592A22"/>
    <w:rsid w:val="295B645F"/>
    <w:rsid w:val="295C2DFA"/>
    <w:rsid w:val="29607FEF"/>
    <w:rsid w:val="296248B4"/>
    <w:rsid w:val="29634188"/>
    <w:rsid w:val="29635392"/>
    <w:rsid w:val="29635E57"/>
    <w:rsid w:val="29640151"/>
    <w:rsid w:val="2969387B"/>
    <w:rsid w:val="296F2AA6"/>
    <w:rsid w:val="296F5223"/>
    <w:rsid w:val="29730BAA"/>
    <w:rsid w:val="29732472"/>
    <w:rsid w:val="29755874"/>
    <w:rsid w:val="29763DAA"/>
    <w:rsid w:val="29763EBB"/>
    <w:rsid w:val="297652B5"/>
    <w:rsid w:val="297C6AB4"/>
    <w:rsid w:val="297D2483"/>
    <w:rsid w:val="2981188E"/>
    <w:rsid w:val="298140A9"/>
    <w:rsid w:val="29816136"/>
    <w:rsid w:val="29832C7E"/>
    <w:rsid w:val="298365D8"/>
    <w:rsid w:val="29844C46"/>
    <w:rsid w:val="298567F4"/>
    <w:rsid w:val="298578AA"/>
    <w:rsid w:val="2986241D"/>
    <w:rsid w:val="29887C14"/>
    <w:rsid w:val="298F0757"/>
    <w:rsid w:val="29954C89"/>
    <w:rsid w:val="29956644"/>
    <w:rsid w:val="299B55F6"/>
    <w:rsid w:val="299E0225"/>
    <w:rsid w:val="29A30A29"/>
    <w:rsid w:val="29A538F0"/>
    <w:rsid w:val="29A72BFB"/>
    <w:rsid w:val="29A90755"/>
    <w:rsid w:val="29AB715F"/>
    <w:rsid w:val="29AC3A7B"/>
    <w:rsid w:val="29AC6841"/>
    <w:rsid w:val="29AE18A7"/>
    <w:rsid w:val="29B0281D"/>
    <w:rsid w:val="29B81919"/>
    <w:rsid w:val="29B82494"/>
    <w:rsid w:val="29BF5862"/>
    <w:rsid w:val="29C15457"/>
    <w:rsid w:val="29C25353"/>
    <w:rsid w:val="29C2556E"/>
    <w:rsid w:val="29C365BF"/>
    <w:rsid w:val="29C54E43"/>
    <w:rsid w:val="29C56BF1"/>
    <w:rsid w:val="29C72969"/>
    <w:rsid w:val="29C76F88"/>
    <w:rsid w:val="29C93B62"/>
    <w:rsid w:val="29C94933"/>
    <w:rsid w:val="29C94A76"/>
    <w:rsid w:val="29C968BF"/>
    <w:rsid w:val="29CB2EF3"/>
    <w:rsid w:val="29CB4861"/>
    <w:rsid w:val="29CD18E1"/>
    <w:rsid w:val="29D3626F"/>
    <w:rsid w:val="29DA76F2"/>
    <w:rsid w:val="29DB7190"/>
    <w:rsid w:val="29DC126B"/>
    <w:rsid w:val="29DC4101"/>
    <w:rsid w:val="29DD218D"/>
    <w:rsid w:val="29DF325B"/>
    <w:rsid w:val="29E25EE2"/>
    <w:rsid w:val="29E312BA"/>
    <w:rsid w:val="29E928DF"/>
    <w:rsid w:val="29ED1EB9"/>
    <w:rsid w:val="29EE7EF6"/>
    <w:rsid w:val="29F00112"/>
    <w:rsid w:val="29F01EC0"/>
    <w:rsid w:val="29F05433"/>
    <w:rsid w:val="29F15015"/>
    <w:rsid w:val="29F37C02"/>
    <w:rsid w:val="29F67AEF"/>
    <w:rsid w:val="29F92A0D"/>
    <w:rsid w:val="29F954C1"/>
    <w:rsid w:val="29FC3CD1"/>
    <w:rsid w:val="29FF3CC3"/>
    <w:rsid w:val="29FF65A7"/>
    <w:rsid w:val="2A005E7B"/>
    <w:rsid w:val="2A03751C"/>
    <w:rsid w:val="2A04192A"/>
    <w:rsid w:val="2A042307"/>
    <w:rsid w:val="2A051921"/>
    <w:rsid w:val="2A0873A9"/>
    <w:rsid w:val="2A090B66"/>
    <w:rsid w:val="2A0B0AA8"/>
    <w:rsid w:val="2A0B4A4F"/>
    <w:rsid w:val="2A0F3F35"/>
    <w:rsid w:val="2A110088"/>
    <w:rsid w:val="2A13795C"/>
    <w:rsid w:val="2A163B91"/>
    <w:rsid w:val="2A17569E"/>
    <w:rsid w:val="2A1A5A4E"/>
    <w:rsid w:val="2A202800"/>
    <w:rsid w:val="2A2034DD"/>
    <w:rsid w:val="2A207C97"/>
    <w:rsid w:val="2A212FBC"/>
    <w:rsid w:val="2A222853"/>
    <w:rsid w:val="2A27294F"/>
    <w:rsid w:val="2A27769E"/>
    <w:rsid w:val="2A2953D2"/>
    <w:rsid w:val="2A2959EE"/>
    <w:rsid w:val="2A2A307B"/>
    <w:rsid w:val="2A2B2680"/>
    <w:rsid w:val="2A2E0C3A"/>
    <w:rsid w:val="2A2F7BA7"/>
    <w:rsid w:val="2A302AEF"/>
    <w:rsid w:val="2A321FDC"/>
    <w:rsid w:val="2A331DAD"/>
    <w:rsid w:val="2A3437B2"/>
    <w:rsid w:val="2A3A1512"/>
    <w:rsid w:val="2A3F0751"/>
    <w:rsid w:val="2A3F38C8"/>
    <w:rsid w:val="2A40524F"/>
    <w:rsid w:val="2A4114AA"/>
    <w:rsid w:val="2A437D7A"/>
    <w:rsid w:val="2A461AE0"/>
    <w:rsid w:val="2A4D10C0"/>
    <w:rsid w:val="2A4D30D2"/>
    <w:rsid w:val="2A4E1F42"/>
    <w:rsid w:val="2A50295E"/>
    <w:rsid w:val="2A5266D7"/>
    <w:rsid w:val="2A551C88"/>
    <w:rsid w:val="2A584C16"/>
    <w:rsid w:val="2A587A65"/>
    <w:rsid w:val="2A5B0B36"/>
    <w:rsid w:val="2A5F2BA2"/>
    <w:rsid w:val="2A6138C4"/>
    <w:rsid w:val="2A6571A8"/>
    <w:rsid w:val="2A66485E"/>
    <w:rsid w:val="2A6D0ADA"/>
    <w:rsid w:val="2A701813"/>
    <w:rsid w:val="2A7300DD"/>
    <w:rsid w:val="2A767D13"/>
    <w:rsid w:val="2A77438F"/>
    <w:rsid w:val="2A775580"/>
    <w:rsid w:val="2A79420D"/>
    <w:rsid w:val="2A7C3754"/>
    <w:rsid w:val="2A7C3791"/>
    <w:rsid w:val="2A7C519C"/>
    <w:rsid w:val="2A7D127A"/>
    <w:rsid w:val="2A7E2A45"/>
    <w:rsid w:val="2A7E5018"/>
    <w:rsid w:val="2A834677"/>
    <w:rsid w:val="2A842608"/>
    <w:rsid w:val="2A846AAC"/>
    <w:rsid w:val="2A860AE1"/>
    <w:rsid w:val="2A862824"/>
    <w:rsid w:val="2A866380"/>
    <w:rsid w:val="2A8B7E3A"/>
    <w:rsid w:val="2A8C5B46"/>
    <w:rsid w:val="2A8D7981"/>
    <w:rsid w:val="2A8E4E85"/>
    <w:rsid w:val="2A905451"/>
    <w:rsid w:val="2A927254"/>
    <w:rsid w:val="2A956862"/>
    <w:rsid w:val="2A974102"/>
    <w:rsid w:val="2A9C2048"/>
    <w:rsid w:val="2A9D36CA"/>
    <w:rsid w:val="2A9E34CC"/>
    <w:rsid w:val="2AA15C59"/>
    <w:rsid w:val="2AA1765E"/>
    <w:rsid w:val="2AA539FA"/>
    <w:rsid w:val="2AA82DF9"/>
    <w:rsid w:val="2AA86C5A"/>
    <w:rsid w:val="2AAB228B"/>
    <w:rsid w:val="2AAD7DB1"/>
    <w:rsid w:val="2AAF677A"/>
    <w:rsid w:val="2AB27175"/>
    <w:rsid w:val="2AB47391"/>
    <w:rsid w:val="2AB555A6"/>
    <w:rsid w:val="2AB90504"/>
    <w:rsid w:val="2AB9225B"/>
    <w:rsid w:val="2ABA62BC"/>
    <w:rsid w:val="2ABB1EC0"/>
    <w:rsid w:val="2ABD7409"/>
    <w:rsid w:val="2ABF4948"/>
    <w:rsid w:val="2AC1560A"/>
    <w:rsid w:val="2AC17499"/>
    <w:rsid w:val="2AC21419"/>
    <w:rsid w:val="2AC31913"/>
    <w:rsid w:val="2AC62088"/>
    <w:rsid w:val="2AC62C21"/>
    <w:rsid w:val="2ACC0481"/>
    <w:rsid w:val="2ACF7A6E"/>
    <w:rsid w:val="2AD4533E"/>
    <w:rsid w:val="2AD510B6"/>
    <w:rsid w:val="2AD75260"/>
    <w:rsid w:val="2AD86C74"/>
    <w:rsid w:val="2AD94755"/>
    <w:rsid w:val="2AE01F34"/>
    <w:rsid w:val="2AE84CD2"/>
    <w:rsid w:val="2AEF2177"/>
    <w:rsid w:val="2AEF72F0"/>
    <w:rsid w:val="2AF61758"/>
    <w:rsid w:val="2AF6775F"/>
    <w:rsid w:val="2AFA0B1C"/>
    <w:rsid w:val="2AFA1DBA"/>
    <w:rsid w:val="2AFB050A"/>
    <w:rsid w:val="2AFB49F7"/>
    <w:rsid w:val="2AFE0A87"/>
    <w:rsid w:val="2AFE5391"/>
    <w:rsid w:val="2AFF2A4B"/>
    <w:rsid w:val="2B01015C"/>
    <w:rsid w:val="2B02634F"/>
    <w:rsid w:val="2B073965"/>
    <w:rsid w:val="2B0A3186"/>
    <w:rsid w:val="2B0B2D29"/>
    <w:rsid w:val="2B0F5C33"/>
    <w:rsid w:val="2B1020EE"/>
    <w:rsid w:val="2B116592"/>
    <w:rsid w:val="2B1559AC"/>
    <w:rsid w:val="2B157704"/>
    <w:rsid w:val="2B165956"/>
    <w:rsid w:val="2B194B98"/>
    <w:rsid w:val="2B1A3661"/>
    <w:rsid w:val="2B1B6CAA"/>
    <w:rsid w:val="2B1E6838"/>
    <w:rsid w:val="2B1F031B"/>
    <w:rsid w:val="2B1F2267"/>
    <w:rsid w:val="2B200583"/>
    <w:rsid w:val="2B2160A9"/>
    <w:rsid w:val="2B22254D"/>
    <w:rsid w:val="2B227C82"/>
    <w:rsid w:val="2B240F5A"/>
    <w:rsid w:val="2B2537CF"/>
    <w:rsid w:val="2B272C88"/>
    <w:rsid w:val="2B2823EB"/>
    <w:rsid w:val="2B2B6F28"/>
    <w:rsid w:val="2B2C33CC"/>
    <w:rsid w:val="2B2D3A0D"/>
    <w:rsid w:val="2B307546"/>
    <w:rsid w:val="2B307CD0"/>
    <w:rsid w:val="2B3147D2"/>
    <w:rsid w:val="2B343101"/>
    <w:rsid w:val="2B3635F1"/>
    <w:rsid w:val="2B37164C"/>
    <w:rsid w:val="2B3B6B9C"/>
    <w:rsid w:val="2B3B716B"/>
    <w:rsid w:val="2B3D2E87"/>
    <w:rsid w:val="2B3D4992"/>
    <w:rsid w:val="2B404781"/>
    <w:rsid w:val="2B434AC0"/>
    <w:rsid w:val="2B434DC6"/>
    <w:rsid w:val="2B457FE9"/>
    <w:rsid w:val="2B4714C1"/>
    <w:rsid w:val="2B4809EC"/>
    <w:rsid w:val="2B495FB6"/>
    <w:rsid w:val="2B4970AF"/>
    <w:rsid w:val="2B4F2C16"/>
    <w:rsid w:val="2B4F7289"/>
    <w:rsid w:val="2B524410"/>
    <w:rsid w:val="2B545A9D"/>
    <w:rsid w:val="2B57010A"/>
    <w:rsid w:val="2B593A95"/>
    <w:rsid w:val="2B597F39"/>
    <w:rsid w:val="2B5E4624"/>
    <w:rsid w:val="2B5F2D62"/>
    <w:rsid w:val="2B5F3D05"/>
    <w:rsid w:val="2B6A7A50"/>
    <w:rsid w:val="2B6C1A1A"/>
    <w:rsid w:val="2B6C5576"/>
    <w:rsid w:val="2B6D16C1"/>
    <w:rsid w:val="2B6D636B"/>
    <w:rsid w:val="2B702041"/>
    <w:rsid w:val="2B724B56"/>
    <w:rsid w:val="2B724ED8"/>
    <w:rsid w:val="2B7872BD"/>
    <w:rsid w:val="2B7937DF"/>
    <w:rsid w:val="2B7D373C"/>
    <w:rsid w:val="2B7D511D"/>
    <w:rsid w:val="2B826BD6"/>
    <w:rsid w:val="2B835C6E"/>
    <w:rsid w:val="2B856638"/>
    <w:rsid w:val="2B864D71"/>
    <w:rsid w:val="2B88437A"/>
    <w:rsid w:val="2B8A1EA0"/>
    <w:rsid w:val="2B8F227F"/>
    <w:rsid w:val="2B8F3584"/>
    <w:rsid w:val="2B8F69BC"/>
    <w:rsid w:val="2B90023A"/>
    <w:rsid w:val="2B92427B"/>
    <w:rsid w:val="2B925820"/>
    <w:rsid w:val="2B931447"/>
    <w:rsid w:val="2B98586B"/>
    <w:rsid w:val="2B990335"/>
    <w:rsid w:val="2B9920E3"/>
    <w:rsid w:val="2B994BC8"/>
    <w:rsid w:val="2B9B22FF"/>
    <w:rsid w:val="2B9D3B98"/>
    <w:rsid w:val="2B9D7E25"/>
    <w:rsid w:val="2B9F5CDF"/>
    <w:rsid w:val="2BA016C4"/>
    <w:rsid w:val="2BA64E99"/>
    <w:rsid w:val="2BA72CFC"/>
    <w:rsid w:val="2BA7533C"/>
    <w:rsid w:val="2BA92A8F"/>
    <w:rsid w:val="2BA9518D"/>
    <w:rsid w:val="2BAB10A3"/>
    <w:rsid w:val="2BAC0068"/>
    <w:rsid w:val="2BAE0C52"/>
    <w:rsid w:val="2BB86250"/>
    <w:rsid w:val="2BB86A0D"/>
    <w:rsid w:val="2BB974A6"/>
    <w:rsid w:val="2BBB64FD"/>
    <w:rsid w:val="2BC058C2"/>
    <w:rsid w:val="2BC104C7"/>
    <w:rsid w:val="2BC10EA4"/>
    <w:rsid w:val="2BC272BF"/>
    <w:rsid w:val="2BC3688B"/>
    <w:rsid w:val="2BC67FFD"/>
    <w:rsid w:val="2BC74966"/>
    <w:rsid w:val="2BCB1AEB"/>
    <w:rsid w:val="2BCC070B"/>
    <w:rsid w:val="2BD71B44"/>
    <w:rsid w:val="2BDF2868"/>
    <w:rsid w:val="2BE474AB"/>
    <w:rsid w:val="2BE9306B"/>
    <w:rsid w:val="2BEA3B2F"/>
    <w:rsid w:val="2BEF5860"/>
    <w:rsid w:val="2BF36914"/>
    <w:rsid w:val="2BF857D1"/>
    <w:rsid w:val="2BFC09A7"/>
    <w:rsid w:val="2BFD3E90"/>
    <w:rsid w:val="2BFF023E"/>
    <w:rsid w:val="2C002162"/>
    <w:rsid w:val="2C02237E"/>
    <w:rsid w:val="2C0261D3"/>
    <w:rsid w:val="2C0655D7"/>
    <w:rsid w:val="2C072EFC"/>
    <w:rsid w:val="2C08490D"/>
    <w:rsid w:val="2C092D8B"/>
    <w:rsid w:val="2C0A4D8F"/>
    <w:rsid w:val="2C0F7F62"/>
    <w:rsid w:val="2C1005F7"/>
    <w:rsid w:val="2C11336E"/>
    <w:rsid w:val="2C1222AA"/>
    <w:rsid w:val="2C12349C"/>
    <w:rsid w:val="2C124195"/>
    <w:rsid w:val="2C1856FE"/>
    <w:rsid w:val="2C1B6F9C"/>
    <w:rsid w:val="2C1C51EE"/>
    <w:rsid w:val="2C1C5302"/>
    <w:rsid w:val="2C1F4644"/>
    <w:rsid w:val="2C201FCB"/>
    <w:rsid w:val="2C231816"/>
    <w:rsid w:val="2C245E51"/>
    <w:rsid w:val="2C271DE5"/>
    <w:rsid w:val="2C2A0691"/>
    <w:rsid w:val="2C2A0E56"/>
    <w:rsid w:val="2C2A1339"/>
    <w:rsid w:val="2C2C37A4"/>
    <w:rsid w:val="2C2F4468"/>
    <w:rsid w:val="2C340A76"/>
    <w:rsid w:val="2C3562B0"/>
    <w:rsid w:val="2C3B319A"/>
    <w:rsid w:val="2C3C774B"/>
    <w:rsid w:val="2C4004D6"/>
    <w:rsid w:val="2C4362D2"/>
    <w:rsid w:val="2C4D632C"/>
    <w:rsid w:val="2C52538C"/>
    <w:rsid w:val="2C540EEA"/>
    <w:rsid w:val="2C5524AE"/>
    <w:rsid w:val="2C57554A"/>
    <w:rsid w:val="2C5A0D7A"/>
    <w:rsid w:val="2C5A3F68"/>
    <w:rsid w:val="2C5E4024"/>
    <w:rsid w:val="2C6078A7"/>
    <w:rsid w:val="2C6426F1"/>
    <w:rsid w:val="2C6721E1"/>
    <w:rsid w:val="2C672913"/>
    <w:rsid w:val="2C6B7188"/>
    <w:rsid w:val="2C7602A5"/>
    <w:rsid w:val="2C772424"/>
    <w:rsid w:val="2C784CCC"/>
    <w:rsid w:val="2C78619D"/>
    <w:rsid w:val="2C787174"/>
    <w:rsid w:val="2C7A59B9"/>
    <w:rsid w:val="2C7D37B3"/>
    <w:rsid w:val="2C7D50AC"/>
    <w:rsid w:val="2C8114F5"/>
    <w:rsid w:val="2C8156C5"/>
    <w:rsid w:val="2C870122"/>
    <w:rsid w:val="2C886AEB"/>
    <w:rsid w:val="2C8965FC"/>
    <w:rsid w:val="2C8B4122"/>
    <w:rsid w:val="2C8D5BFE"/>
    <w:rsid w:val="2C8E6F44"/>
    <w:rsid w:val="2C8E776E"/>
    <w:rsid w:val="2C9001A8"/>
    <w:rsid w:val="2C90798A"/>
    <w:rsid w:val="2C936FCB"/>
    <w:rsid w:val="2C956D4E"/>
    <w:rsid w:val="2C970D19"/>
    <w:rsid w:val="2C981B76"/>
    <w:rsid w:val="2C9A25B7"/>
    <w:rsid w:val="2C9A6060"/>
    <w:rsid w:val="2C9B68DD"/>
    <w:rsid w:val="2C9C0E81"/>
    <w:rsid w:val="2C9C1E8B"/>
    <w:rsid w:val="2C9D0465"/>
    <w:rsid w:val="2C9D5C03"/>
    <w:rsid w:val="2C9F4239"/>
    <w:rsid w:val="2C9F5E1F"/>
    <w:rsid w:val="2CA019D6"/>
    <w:rsid w:val="2CA567CF"/>
    <w:rsid w:val="2CA605EB"/>
    <w:rsid w:val="2CAB73C9"/>
    <w:rsid w:val="2CAD7045"/>
    <w:rsid w:val="2CAE1BBE"/>
    <w:rsid w:val="2CB21FD4"/>
    <w:rsid w:val="2CB2345D"/>
    <w:rsid w:val="2CB529B4"/>
    <w:rsid w:val="2CB573F1"/>
    <w:rsid w:val="2CB74F17"/>
    <w:rsid w:val="2CB847EB"/>
    <w:rsid w:val="2CBA6F8F"/>
    <w:rsid w:val="2CBD0053"/>
    <w:rsid w:val="2CBE4C61"/>
    <w:rsid w:val="2CBF5993"/>
    <w:rsid w:val="2CC30527"/>
    <w:rsid w:val="2CC44650"/>
    <w:rsid w:val="2CC6515A"/>
    <w:rsid w:val="2CCA6C88"/>
    <w:rsid w:val="2CCA71A9"/>
    <w:rsid w:val="2CCB09C2"/>
    <w:rsid w:val="2CCC5CC4"/>
    <w:rsid w:val="2CCD473A"/>
    <w:rsid w:val="2CCF31F9"/>
    <w:rsid w:val="2CD45AC9"/>
    <w:rsid w:val="2CD51841"/>
    <w:rsid w:val="2CDA0C05"/>
    <w:rsid w:val="2CDA29B3"/>
    <w:rsid w:val="2CDB3C22"/>
    <w:rsid w:val="2CE11F7D"/>
    <w:rsid w:val="2CE33F5E"/>
    <w:rsid w:val="2CE51A84"/>
    <w:rsid w:val="2CE5218E"/>
    <w:rsid w:val="2CE621FA"/>
    <w:rsid w:val="2CEB299B"/>
    <w:rsid w:val="2CEB5155"/>
    <w:rsid w:val="2CEB696E"/>
    <w:rsid w:val="2CF53DDD"/>
    <w:rsid w:val="2CF54C54"/>
    <w:rsid w:val="2CF54EB3"/>
    <w:rsid w:val="2CF77114"/>
    <w:rsid w:val="2CF91D1C"/>
    <w:rsid w:val="2CFB4412"/>
    <w:rsid w:val="2D016192"/>
    <w:rsid w:val="2D03015C"/>
    <w:rsid w:val="2D044EF8"/>
    <w:rsid w:val="2D067C4C"/>
    <w:rsid w:val="2D087520"/>
    <w:rsid w:val="2D0932A0"/>
    <w:rsid w:val="2D127F45"/>
    <w:rsid w:val="2D13250A"/>
    <w:rsid w:val="2D136237"/>
    <w:rsid w:val="2D140DEC"/>
    <w:rsid w:val="2D142369"/>
    <w:rsid w:val="2D151C3D"/>
    <w:rsid w:val="2D194C6B"/>
    <w:rsid w:val="2D1B638B"/>
    <w:rsid w:val="2D1C2FCC"/>
    <w:rsid w:val="2D2032BE"/>
    <w:rsid w:val="2D2500D2"/>
    <w:rsid w:val="2D256098"/>
    <w:rsid w:val="2D2747C4"/>
    <w:rsid w:val="2D276581"/>
    <w:rsid w:val="2D2A1307"/>
    <w:rsid w:val="2D3447B9"/>
    <w:rsid w:val="2D353A1E"/>
    <w:rsid w:val="2D355E3C"/>
    <w:rsid w:val="2D3703E5"/>
    <w:rsid w:val="2D38351D"/>
    <w:rsid w:val="2D3842B6"/>
    <w:rsid w:val="2D401E59"/>
    <w:rsid w:val="2D41461E"/>
    <w:rsid w:val="2D42340A"/>
    <w:rsid w:val="2D423EA9"/>
    <w:rsid w:val="2D426ED6"/>
    <w:rsid w:val="2D460B03"/>
    <w:rsid w:val="2D482C05"/>
    <w:rsid w:val="2D485B6F"/>
    <w:rsid w:val="2D532AAF"/>
    <w:rsid w:val="2D565415"/>
    <w:rsid w:val="2D571ADB"/>
    <w:rsid w:val="2D5C786C"/>
    <w:rsid w:val="2D5D22FB"/>
    <w:rsid w:val="2D5E3590"/>
    <w:rsid w:val="2D61357E"/>
    <w:rsid w:val="2D637FAB"/>
    <w:rsid w:val="2D65680F"/>
    <w:rsid w:val="2D692125"/>
    <w:rsid w:val="2D692ECA"/>
    <w:rsid w:val="2D6C3502"/>
    <w:rsid w:val="2D6D50AD"/>
    <w:rsid w:val="2D727CFA"/>
    <w:rsid w:val="2D7310DD"/>
    <w:rsid w:val="2D790214"/>
    <w:rsid w:val="2D7A035A"/>
    <w:rsid w:val="2D7C609B"/>
    <w:rsid w:val="2D86134A"/>
    <w:rsid w:val="2D882A47"/>
    <w:rsid w:val="2D8C1F00"/>
    <w:rsid w:val="2D8C58DB"/>
    <w:rsid w:val="2D8C5B17"/>
    <w:rsid w:val="2D8D2A73"/>
    <w:rsid w:val="2D8D3061"/>
    <w:rsid w:val="2D8D3ECA"/>
    <w:rsid w:val="2D8E230F"/>
    <w:rsid w:val="2D8F379E"/>
    <w:rsid w:val="2D917516"/>
    <w:rsid w:val="2D9258B9"/>
    <w:rsid w:val="2D935C47"/>
    <w:rsid w:val="2D9905E9"/>
    <w:rsid w:val="2D9A54B4"/>
    <w:rsid w:val="2D9B65BD"/>
    <w:rsid w:val="2DA01E4F"/>
    <w:rsid w:val="2DA07759"/>
    <w:rsid w:val="2DA14D55"/>
    <w:rsid w:val="2DA42303"/>
    <w:rsid w:val="2DAA05D8"/>
    <w:rsid w:val="2DAA1814"/>
    <w:rsid w:val="2DAA312C"/>
    <w:rsid w:val="2DAE6AB9"/>
    <w:rsid w:val="2DAF570F"/>
    <w:rsid w:val="2DB15E0A"/>
    <w:rsid w:val="2DB40F9E"/>
    <w:rsid w:val="2DBB24D7"/>
    <w:rsid w:val="2DBD79F5"/>
    <w:rsid w:val="2DBE2F11"/>
    <w:rsid w:val="2DBF0527"/>
    <w:rsid w:val="2DC002F6"/>
    <w:rsid w:val="2DC44263"/>
    <w:rsid w:val="2DC549A4"/>
    <w:rsid w:val="2DC86CB0"/>
    <w:rsid w:val="2DCD40F2"/>
    <w:rsid w:val="2DCD42C6"/>
    <w:rsid w:val="2DD52B32"/>
    <w:rsid w:val="2DD83397"/>
    <w:rsid w:val="2DDB69E3"/>
    <w:rsid w:val="2DDB7535"/>
    <w:rsid w:val="2DDD7627"/>
    <w:rsid w:val="2DDE2344"/>
    <w:rsid w:val="2DDE4823"/>
    <w:rsid w:val="2DDF2977"/>
    <w:rsid w:val="2DE31419"/>
    <w:rsid w:val="2DE41D3C"/>
    <w:rsid w:val="2DE56DEA"/>
    <w:rsid w:val="2DE73E20"/>
    <w:rsid w:val="2DE92930"/>
    <w:rsid w:val="2DE937EA"/>
    <w:rsid w:val="2DEA131C"/>
    <w:rsid w:val="2DEA55CE"/>
    <w:rsid w:val="2DEB0301"/>
    <w:rsid w:val="2DEE2630"/>
    <w:rsid w:val="2DEE2BBA"/>
    <w:rsid w:val="2DF06932"/>
    <w:rsid w:val="2DF23370"/>
    <w:rsid w:val="2DF32992"/>
    <w:rsid w:val="2DF4269C"/>
    <w:rsid w:val="2DF47E78"/>
    <w:rsid w:val="2DF521E8"/>
    <w:rsid w:val="2DFE26D1"/>
    <w:rsid w:val="2E020DCC"/>
    <w:rsid w:val="2E025B64"/>
    <w:rsid w:val="2E026B72"/>
    <w:rsid w:val="2E0308AA"/>
    <w:rsid w:val="2E0979F4"/>
    <w:rsid w:val="2E0E0B66"/>
    <w:rsid w:val="2E1036DE"/>
    <w:rsid w:val="2E113D3C"/>
    <w:rsid w:val="2E1168A9"/>
    <w:rsid w:val="2E1343CF"/>
    <w:rsid w:val="2E15518C"/>
    <w:rsid w:val="2E163EBF"/>
    <w:rsid w:val="2E175A14"/>
    <w:rsid w:val="2E1A77F7"/>
    <w:rsid w:val="2E1C71BE"/>
    <w:rsid w:val="2E21083A"/>
    <w:rsid w:val="2E271C28"/>
    <w:rsid w:val="2E29075F"/>
    <w:rsid w:val="2E29264C"/>
    <w:rsid w:val="2E2C36E3"/>
    <w:rsid w:val="2E2C7EEF"/>
    <w:rsid w:val="2E2D24ED"/>
    <w:rsid w:val="2E316BEE"/>
    <w:rsid w:val="2E3305CD"/>
    <w:rsid w:val="2E334A71"/>
    <w:rsid w:val="2E352597"/>
    <w:rsid w:val="2E361F21"/>
    <w:rsid w:val="2E3A195C"/>
    <w:rsid w:val="2E3D002A"/>
    <w:rsid w:val="2E3F1722"/>
    <w:rsid w:val="2E3F51C4"/>
    <w:rsid w:val="2E421182"/>
    <w:rsid w:val="2E452641"/>
    <w:rsid w:val="2E4704E2"/>
    <w:rsid w:val="2E4743AC"/>
    <w:rsid w:val="2E513BC9"/>
    <w:rsid w:val="2E541C40"/>
    <w:rsid w:val="2E56075F"/>
    <w:rsid w:val="2E5844D8"/>
    <w:rsid w:val="2E5A3DAC"/>
    <w:rsid w:val="2E5A6402"/>
    <w:rsid w:val="2E5D1AEE"/>
    <w:rsid w:val="2E6003A6"/>
    <w:rsid w:val="2E621A0B"/>
    <w:rsid w:val="2E625356"/>
    <w:rsid w:val="2E633905"/>
    <w:rsid w:val="2E644C2A"/>
    <w:rsid w:val="2E6469D8"/>
    <w:rsid w:val="2E6609A2"/>
    <w:rsid w:val="2E6846D3"/>
    <w:rsid w:val="2E6A2A24"/>
    <w:rsid w:val="2E6B52F2"/>
    <w:rsid w:val="2E6E0B2D"/>
    <w:rsid w:val="2E6F3DEB"/>
    <w:rsid w:val="2E753B8E"/>
    <w:rsid w:val="2E755BFA"/>
    <w:rsid w:val="2E76796B"/>
    <w:rsid w:val="2E767F31"/>
    <w:rsid w:val="2E794C4A"/>
    <w:rsid w:val="2E7B4343"/>
    <w:rsid w:val="2E7B4D86"/>
    <w:rsid w:val="2E7D5E52"/>
    <w:rsid w:val="2E7F1A64"/>
    <w:rsid w:val="2E805510"/>
    <w:rsid w:val="2E8109DF"/>
    <w:rsid w:val="2E835F98"/>
    <w:rsid w:val="2E876223"/>
    <w:rsid w:val="2E8C6AC7"/>
    <w:rsid w:val="2E8D37AF"/>
    <w:rsid w:val="2E907A76"/>
    <w:rsid w:val="2E925CC7"/>
    <w:rsid w:val="2E951288"/>
    <w:rsid w:val="2E953036"/>
    <w:rsid w:val="2E993A04"/>
    <w:rsid w:val="2E9A689E"/>
    <w:rsid w:val="2E9B6DDF"/>
    <w:rsid w:val="2E9C2616"/>
    <w:rsid w:val="2E9C33A3"/>
    <w:rsid w:val="2E9C43C4"/>
    <w:rsid w:val="2E9D1EEA"/>
    <w:rsid w:val="2E9F53E8"/>
    <w:rsid w:val="2E9F54B6"/>
    <w:rsid w:val="2EA17C2D"/>
    <w:rsid w:val="2EA31FC8"/>
    <w:rsid w:val="2EAB0AAB"/>
    <w:rsid w:val="2EAB0B62"/>
    <w:rsid w:val="2EAB2859"/>
    <w:rsid w:val="2EAE40F8"/>
    <w:rsid w:val="2EB23BE8"/>
    <w:rsid w:val="2EB931C8"/>
    <w:rsid w:val="2EBB6360"/>
    <w:rsid w:val="2EBE3D5C"/>
    <w:rsid w:val="2EBF4557"/>
    <w:rsid w:val="2EC329D7"/>
    <w:rsid w:val="2EC65DA6"/>
    <w:rsid w:val="2EC67D1D"/>
    <w:rsid w:val="2EC825C2"/>
    <w:rsid w:val="2ECB11AE"/>
    <w:rsid w:val="2ECE02F6"/>
    <w:rsid w:val="2ED26038"/>
    <w:rsid w:val="2ED578D6"/>
    <w:rsid w:val="2EDE49DD"/>
    <w:rsid w:val="2EE01DC3"/>
    <w:rsid w:val="2EE10029"/>
    <w:rsid w:val="2EE13548"/>
    <w:rsid w:val="2EE25261"/>
    <w:rsid w:val="2EE70608"/>
    <w:rsid w:val="2EE83FFA"/>
    <w:rsid w:val="2EE97D0F"/>
    <w:rsid w:val="2EEB0EA8"/>
    <w:rsid w:val="2EEC69C6"/>
    <w:rsid w:val="2EED48AF"/>
    <w:rsid w:val="2EED69CE"/>
    <w:rsid w:val="2EEF6BEA"/>
    <w:rsid w:val="2EF266DA"/>
    <w:rsid w:val="2EF338D6"/>
    <w:rsid w:val="2EF55F20"/>
    <w:rsid w:val="2EF6287C"/>
    <w:rsid w:val="2EFA558F"/>
    <w:rsid w:val="2F0957D2"/>
    <w:rsid w:val="2F096135"/>
    <w:rsid w:val="2F0A5A7F"/>
    <w:rsid w:val="2F0B69C1"/>
    <w:rsid w:val="2F0E4F6F"/>
    <w:rsid w:val="2F0F103A"/>
    <w:rsid w:val="2F106B60"/>
    <w:rsid w:val="2F1539D7"/>
    <w:rsid w:val="2F1C72B3"/>
    <w:rsid w:val="2F1D1FC4"/>
    <w:rsid w:val="2F1E127D"/>
    <w:rsid w:val="2F204FF5"/>
    <w:rsid w:val="2F2213C9"/>
    <w:rsid w:val="2F260132"/>
    <w:rsid w:val="2F280BA9"/>
    <w:rsid w:val="2F285C58"/>
    <w:rsid w:val="2F2A1E1F"/>
    <w:rsid w:val="2F2B1BEC"/>
    <w:rsid w:val="2F2C0C97"/>
    <w:rsid w:val="2F2D4028"/>
    <w:rsid w:val="2F2F5238"/>
    <w:rsid w:val="2F2F74A4"/>
    <w:rsid w:val="2F370562"/>
    <w:rsid w:val="2F370591"/>
    <w:rsid w:val="2F37735B"/>
    <w:rsid w:val="2F3A7540"/>
    <w:rsid w:val="2F3C4323"/>
    <w:rsid w:val="2F416D1A"/>
    <w:rsid w:val="2F426F74"/>
    <w:rsid w:val="2F436F36"/>
    <w:rsid w:val="2F462582"/>
    <w:rsid w:val="2F4741C6"/>
    <w:rsid w:val="2F4A02C4"/>
    <w:rsid w:val="2F4A6121"/>
    <w:rsid w:val="2F4A7755"/>
    <w:rsid w:val="2F4B75B1"/>
    <w:rsid w:val="2F540FBD"/>
    <w:rsid w:val="2F566C69"/>
    <w:rsid w:val="2F57478F"/>
    <w:rsid w:val="2F5B3BD9"/>
    <w:rsid w:val="2F5C7FF7"/>
    <w:rsid w:val="2F5E167A"/>
    <w:rsid w:val="2F5F27F1"/>
    <w:rsid w:val="2F600F2D"/>
    <w:rsid w:val="2F662C24"/>
    <w:rsid w:val="2F6744BE"/>
    <w:rsid w:val="2F6A44C2"/>
    <w:rsid w:val="2F6D5D61"/>
    <w:rsid w:val="2F6F675B"/>
    <w:rsid w:val="2F712D2B"/>
    <w:rsid w:val="2F7605A4"/>
    <w:rsid w:val="2F765FE1"/>
    <w:rsid w:val="2F794705"/>
    <w:rsid w:val="2F7A0656"/>
    <w:rsid w:val="2F7B63B5"/>
    <w:rsid w:val="2F806A9A"/>
    <w:rsid w:val="2F8143BC"/>
    <w:rsid w:val="2F824824"/>
    <w:rsid w:val="2F825A7D"/>
    <w:rsid w:val="2F851524"/>
    <w:rsid w:val="2F882D08"/>
    <w:rsid w:val="2F885A6E"/>
    <w:rsid w:val="2F8A06C1"/>
    <w:rsid w:val="2F8B711B"/>
    <w:rsid w:val="2F8D01B1"/>
    <w:rsid w:val="2F8F05B7"/>
    <w:rsid w:val="2F900EA9"/>
    <w:rsid w:val="2F923A19"/>
    <w:rsid w:val="2F950E14"/>
    <w:rsid w:val="2F9652B7"/>
    <w:rsid w:val="2F967065"/>
    <w:rsid w:val="2F994DA8"/>
    <w:rsid w:val="2F9A37FA"/>
    <w:rsid w:val="2F9A3C45"/>
    <w:rsid w:val="2F9B28CE"/>
    <w:rsid w:val="2F9E23BE"/>
    <w:rsid w:val="2FA21CD6"/>
    <w:rsid w:val="2FA501BC"/>
    <w:rsid w:val="2FA74D67"/>
    <w:rsid w:val="2FA80FF0"/>
    <w:rsid w:val="2FA8323D"/>
    <w:rsid w:val="2FAD3210"/>
    <w:rsid w:val="2FB15C4D"/>
    <w:rsid w:val="2FB21AD7"/>
    <w:rsid w:val="2FB35E69"/>
    <w:rsid w:val="2FB47D7C"/>
    <w:rsid w:val="2FB53E57"/>
    <w:rsid w:val="2FBC12EA"/>
    <w:rsid w:val="2FC02334"/>
    <w:rsid w:val="2FC10309"/>
    <w:rsid w:val="2FC43030"/>
    <w:rsid w:val="2FC65105"/>
    <w:rsid w:val="2FC707B4"/>
    <w:rsid w:val="2FCB4E53"/>
    <w:rsid w:val="2FCB55C7"/>
    <w:rsid w:val="2FCE5D57"/>
    <w:rsid w:val="2FCF07C9"/>
    <w:rsid w:val="2FCF5B36"/>
    <w:rsid w:val="2FD14541"/>
    <w:rsid w:val="2FD21585"/>
    <w:rsid w:val="2FD45DE0"/>
    <w:rsid w:val="2FD75CA7"/>
    <w:rsid w:val="2FD91648"/>
    <w:rsid w:val="2FDD42EC"/>
    <w:rsid w:val="2FE23C07"/>
    <w:rsid w:val="2FE42584"/>
    <w:rsid w:val="2FE6700E"/>
    <w:rsid w:val="2FEC1D0C"/>
    <w:rsid w:val="2FEE43F1"/>
    <w:rsid w:val="2FEF1B48"/>
    <w:rsid w:val="2FEF55F3"/>
    <w:rsid w:val="2FF27048"/>
    <w:rsid w:val="2FF3270A"/>
    <w:rsid w:val="2FF43D8C"/>
    <w:rsid w:val="2FF5184E"/>
    <w:rsid w:val="2FF55A29"/>
    <w:rsid w:val="2FF65D56"/>
    <w:rsid w:val="2FF71871"/>
    <w:rsid w:val="2FF83506"/>
    <w:rsid w:val="2FFA4218"/>
    <w:rsid w:val="2FFC2C63"/>
    <w:rsid w:val="2FFE4C0B"/>
    <w:rsid w:val="300541EB"/>
    <w:rsid w:val="300809E8"/>
    <w:rsid w:val="30080B8B"/>
    <w:rsid w:val="30085A89"/>
    <w:rsid w:val="30095CB8"/>
    <w:rsid w:val="30097568"/>
    <w:rsid w:val="300F0BC6"/>
    <w:rsid w:val="30101EA6"/>
    <w:rsid w:val="30110DE2"/>
    <w:rsid w:val="30112B90"/>
    <w:rsid w:val="30136739"/>
    <w:rsid w:val="30160EAD"/>
    <w:rsid w:val="301711CB"/>
    <w:rsid w:val="30185B75"/>
    <w:rsid w:val="30196CDB"/>
    <w:rsid w:val="301E2942"/>
    <w:rsid w:val="30224D9D"/>
    <w:rsid w:val="3022513E"/>
    <w:rsid w:val="302254D9"/>
    <w:rsid w:val="302723B3"/>
    <w:rsid w:val="30274161"/>
    <w:rsid w:val="3027418E"/>
    <w:rsid w:val="30295150"/>
    <w:rsid w:val="302C1C3A"/>
    <w:rsid w:val="302C6E56"/>
    <w:rsid w:val="302C772F"/>
    <w:rsid w:val="30316D8E"/>
    <w:rsid w:val="30343319"/>
    <w:rsid w:val="30351247"/>
    <w:rsid w:val="303643A5"/>
    <w:rsid w:val="303934A3"/>
    <w:rsid w:val="303B78E6"/>
    <w:rsid w:val="303C11EB"/>
    <w:rsid w:val="303D18AF"/>
    <w:rsid w:val="30400E88"/>
    <w:rsid w:val="3040163A"/>
    <w:rsid w:val="3040577F"/>
    <w:rsid w:val="304322FC"/>
    <w:rsid w:val="30450A8C"/>
    <w:rsid w:val="30463880"/>
    <w:rsid w:val="304766D8"/>
    <w:rsid w:val="304E16EE"/>
    <w:rsid w:val="305912CB"/>
    <w:rsid w:val="30592CAC"/>
    <w:rsid w:val="305B2EFB"/>
    <w:rsid w:val="305D7B83"/>
    <w:rsid w:val="306022CF"/>
    <w:rsid w:val="306210FC"/>
    <w:rsid w:val="30622059"/>
    <w:rsid w:val="30650459"/>
    <w:rsid w:val="306507D0"/>
    <w:rsid w:val="306E7FE2"/>
    <w:rsid w:val="30701118"/>
    <w:rsid w:val="30711881"/>
    <w:rsid w:val="30725D18"/>
    <w:rsid w:val="30731155"/>
    <w:rsid w:val="30731FDB"/>
    <w:rsid w:val="30757977"/>
    <w:rsid w:val="3077201F"/>
    <w:rsid w:val="307849BD"/>
    <w:rsid w:val="307D6477"/>
    <w:rsid w:val="307F3B5F"/>
    <w:rsid w:val="3082381B"/>
    <w:rsid w:val="3083754A"/>
    <w:rsid w:val="308570DA"/>
    <w:rsid w:val="30870F76"/>
    <w:rsid w:val="30873888"/>
    <w:rsid w:val="30876448"/>
    <w:rsid w:val="30885405"/>
    <w:rsid w:val="30890B9C"/>
    <w:rsid w:val="308C0468"/>
    <w:rsid w:val="308C66BA"/>
    <w:rsid w:val="308E1FF5"/>
    <w:rsid w:val="308E41E1"/>
    <w:rsid w:val="3094607F"/>
    <w:rsid w:val="309821BF"/>
    <w:rsid w:val="309B5EA8"/>
    <w:rsid w:val="309C2A32"/>
    <w:rsid w:val="309D08C8"/>
    <w:rsid w:val="309F66FB"/>
    <w:rsid w:val="30A13F14"/>
    <w:rsid w:val="30A22774"/>
    <w:rsid w:val="30A27C8C"/>
    <w:rsid w:val="30A40FEC"/>
    <w:rsid w:val="30A6152A"/>
    <w:rsid w:val="30A76AE0"/>
    <w:rsid w:val="30AB1519"/>
    <w:rsid w:val="30AB3B9F"/>
    <w:rsid w:val="30B31E99"/>
    <w:rsid w:val="30B71989"/>
    <w:rsid w:val="30BA4FD6"/>
    <w:rsid w:val="30BB0111"/>
    <w:rsid w:val="30BB35FC"/>
    <w:rsid w:val="30BC5EEC"/>
    <w:rsid w:val="30BC68A8"/>
    <w:rsid w:val="30C15361"/>
    <w:rsid w:val="30C15734"/>
    <w:rsid w:val="30C56B52"/>
    <w:rsid w:val="30C710C0"/>
    <w:rsid w:val="30C8448F"/>
    <w:rsid w:val="30CC4D09"/>
    <w:rsid w:val="30CF73D6"/>
    <w:rsid w:val="30D00355"/>
    <w:rsid w:val="30D45FB9"/>
    <w:rsid w:val="30D51E0F"/>
    <w:rsid w:val="30D84953"/>
    <w:rsid w:val="30D8545C"/>
    <w:rsid w:val="30D91493"/>
    <w:rsid w:val="30DA11D4"/>
    <w:rsid w:val="30DC4D0A"/>
    <w:rsid w:val="30DD02DC"/>
    <w:rsid w:val="30DD4040"/>
    <w:rsid w:val="30E04C44"/>
    <w:rsid w:val="30E3277E"/>
    <w:rsid w:val="30E416D6"/>
    <w:rsid w:val="30E450AD"/>
    <w:rsid w:val="30E63C30"/>
    <w:rsid w:val="30E84039"/>
    <w:rsid w:val="30E96868"/>
    <w:rsid w:val="30EC0F07"/>
    <w:rsid w:val="30ED2D50"/>
    <w:rsid w:val="30EE058F"/>
    <w:rsid w:val="30EE1123"/>
    <w:rsid w:val="30F06C49"/>
    <w:rsid w:val="30F2476F"/>
    <w:rsid w:val="30F40380"/>
    <w:rsid w:val="30F57A6F"/>
    <w:rsid w:val="30FD40AA"/>
    <w:rsid w:val="30FE1081"/>
    <w:rsid w:val="30FF0C3A"/>
    <w:rsid w:val="31007EA4"/>
    <w:rsid w:val="31072A3A"/>
    <w:rsid w:val="31097D0B"/>
    <w:rsid w:val="310A3158"/>
    <w:rsid w:val="310A6EA0"/>
    <w:rsid w:val="310B3A83"/>
    <w:rsid w:val="310E5321"/>
    <w:rsid w:val="310F3573"/>
    <w:rsid w:val="31151AF1"/>
    <w:rsid w:val="311B12EE"/>
    <w:rsid w:val="311C17EC"/>
    <w:rsid w:val="311E37B6"/>
    <w:rsid w:val="31252E2B"/>
    <w:rsid w:val="31264A88"/>
    <w:rsid w:val="312734EC"/>
    <w:rsid w:val="31293E7B"/>
    <w:rsid w:val="312D2877"/>
    <w:rsid w:val="312D7F72"/>
    <w:rsid w:val="312E0C8D"/>
    <w:rsid w:val="312E1520"/>
    <w:rsid w:val="313034EA"/>
    <w:rsid w:val="313306F1"/>
    <w:rsid w:val="313308E4"/>
    <w:rsid w:val="31346286"/>
    <w:rsid w:val="3135465C"/>
    <w:rsid w:val="3138736B"/>
    <w:rsid w:val="313905F0"/>
    <w:rsid w:val="313F5175"/>
    <w:rsid w:val="31400961"/>
    <w:rsid w:val="3142463A"/>
    <w:rsid w:val="31490108"/>
    <w:rsid w:val="314E4954"/>
    <w:rsid w:val="31500148"/>
    <w:rsid w:val="31526393"/>
    <w:rsid w:val="315611C7"/>
    <w:rsid w:val="31562AA2"/>
    <w:rsid w:val="3159659D"/>
    <w:rsid w:val="315A0567"/>
    <w:rsid w:val="315B661C"/>
    <w:rsid w:val="315D5FCE"/>
    <w:rsid w:val="315F1D91"/>
    <w:rsid w:val="316239FB"/>
    <w:rsid w:val="3163741B"/>
    <w:rsid w:val="31644E7F"/>
    <w:rsid w:val="31653193"/>
    <w:rsid w:val="31662A68"/>
    <w:rsid w:val="31692558"/>
    <w:rsid w:val="316B2774"/>
    <w:rsid w:val="316C6865"/>
    <w:rsid w:val="316D2919"/>
    <w:rsid w:val="316F5BF8"/>
    <w:rsid w:val="316F6B99"/>
    <w:rsid w:val="3170390B"/>
    <w:rsid w:val="317177E5"/>
    <w:rsid w:val="3172765E"/>
    <w:rsid w:val="31741628"/>
    <w:rsid w:val="31750EFD"/>
    <w:rsid w:val="31762F71"/>
    <w:rsid w:val="31781DB0"/>
    <w:rsid w:val="317B6019"/>
    <w:rsid w:val="318022E7"/>
    <w:rsid w:val="31807FCD"/>
    <w:rsid w:val="318374F0"/>
    <w:rsid w:val="31837ABD"/>
    <w:rsid w:val="31876914"/>
    <w:rsid w:val="318D26EA"/>
    <w:rsid w:val="318F0F42"/>
    <w:rsid w:val="31900E99"/>
    <w:rsid w:val="31956285"/>
    <w:rsid w:val="31994E64"/>
    <w:rsid w:val="319A0963"/>
    <w:rsid w:val="319C292D"/>
    <w:rsid w:val="319E62A1"/>
    <w:rsid w:val="319E66A5"/>
    <w:rsid w:val="319F2569"/>
    <w:rsid w:val="31A240F4"/>
    <w:rsid w:val="31A254D2"/>
    <w:rsid w:val="31A365C8"/>
    <w:rsid w:val="31A55C86"/>
    <w:rsid w:val="31A67308"/>
    <w:rsid w:val="31A94323"/>
    <w:rsid w:val="31AB0272"/>
    <w:rsid w:val="31AB7CD7"/>
    <w:rsid w:val="31AC0DC2"/>
    <w:rsid w:val="31AC3B12"/>
    <w:rsid w:val="31B02F2C"/>
    <w:rsid w:val="31B45D8A"/>
    <w:rsid w:val="31B615C0"/>
    <w:rsid w:val="31B92494"/>
    <w:rsid w:val="31BC36EB"/>
    <w:rsid w:val="31BE0AF5"/>
    <w:rsid w:val="31BE7793"/>
    <w:rsid w:val="31C04BEB"/>
    <w:rsid w:val="31C53C32"/>
    <w:rsid w:val="31C61758"/>
    <w:rsid w:val="31C95635"/>
    <w:rsid w:val="31CD5586"/>
    <w:rsid w:val="31CF685F"/>
    <w:rsid w:val="31D11605"/>
    <w:rsid w:val="31D17BCC"/>
    <w:rsid w:val="31D32BCD"/>
    <w:rsid w:val="31D33EF1"/>
    <w:rsid w:val="31D64091"/>
    <w:rsid w:val="31D8281D"/>
    <w:rsid w:val="31D86E5C"/>
    <w:rsid w:val="31DE7795"/>
    <w:rsid w:val="31E230B4"/>
    <w:rsid w:val="31E4268D"/>
    <w:rsid w:val="31E85E3E"/>
    <w:rsid w:val="31E87920"/>
    <w:rsid w:val="31E95F2C"/>
    <w:rsid w:val="31ED3622"/>
    <w:rsid w:val="31F04FB7"/>
    <w:rsid w:val="31F36FA0"/>
    <w:rsid w:val="31F645BF"/>
    <w:rsid w:val="31FC68EB"/>
    <w:rsid w:val="31FE7144"/>
    <w:rsid w:val="3200779C"/>
    <w:rsid w:val="320124B0"/>
    <w:rsid w:val="32015D03"/>
    <w:rsid w:val="32024AE8"/>
    <w:rsid w:val="3202637A"/>
    <w:rsid w:val="32054A6B"/>
    <w:rsid w:val="3207424B"/>
    <w:rsid w:val="32096215"/>
    <w:rsid w:val="320B1845"/>
    <w:rsid w:val="320B6AC9"/>
    <w:rsid w:val="320B6B7B"/>
    <w:rsid w:val="320C1DA9"/>
    <w:rsid w:val="320C360F"/>
    <w:rsid w:val="320D3E60"/>
    <w:rsid w:val="321150C9"/>
    <w:rsid w:val="32116110"/>
    <w:rsid w:val="32196DE4"/>
    <w:rsid w:val="321B1AA4"/>
    <w:rsid w:val="321B7C59"/>
    <w:rsid w:val="321C5DF1"/>
    <w:rsid w:val="321D0FA6"/>
    <w:rsid w:val="32221084"/>
    <w:rsid w:val="322748ED"/>
    <w:rsid w:val="32274DA7"/>
    <w:rsid w:val="3228654D"/>
    <w:rsid w:val="322D4B5B"/>
    <w:rsid w:val="32306116"/>
    <w:rsid w:val="323112C7"/>
    <w:rsid w:val="32313075"/>
    <w:rsid w:val="32335040"/>
    <w:rsid w:val="32347228"/>
    <w:rsid w:val="323668DE"/>
    <w:rsid w:val="323F4F5A"/>
    <w:rsid w:val="324048AC"/>
    <w:rsid w:val="32424F32"/>
    <w:rsid w:val="32442548"/>
    <w:rsid w:val="32455BFC"/>
    <w:rsid w:val="324B5680"/>
    <w:rsid w:val="324C5552"/>
    <w:rsid w:val="324E12A6"/>
    <w:rsid w:val="325356E2"/>
    <w:rsid w:val="32535877"/>
    <w:rsid w:val="32544FB6"/>
    <w:rsid w:val="32546D64"/>
    <w:rsid w:val="32547325"/>
    <w:rsid w:val="32555358"/>
    <w:rsid w:val="32563306"/>
    <w:rsid w:val="32567CA0"/>
    <w:rsid w:val="32570D4C"/>
    <w:rsid w:val="32591D06"/>
    <w:rsid w:val="325A5DA6"/>
    <w:rsid w:val="325E7BE3"/>
    <w:rsid w:val="32607DFF"/>
    <w:rsid w:val="32611F1E"/>
    <w:rsid w:val="3262274A"/>
    <w:rsid w:val="32625925"/>
    <w:rsid w:val="3263398A"/>
    <w:rsid w:val="32677FEB"/>
    <w:rsid w:val="3268676E"/>
    <w:rsid w:val="326A039D"/>
    <w:rsid w:val="326A7D85"/>
    <w:rsid w:val="326E23FE"/>
    <w:rsid w:val="327220B8"/>
    <w:rsid w:val="32723729"/>
    <w:rsid w:val="32744890"/>
    <w:rsid w:val="32780CA4"/>
    <w:rsid w:val="32806694"/>
    <w:rsid w:val="328533C1"/>
    <w:rsid w:val="328A56AC"/>
    <w:rsid w:val="328C0BCF"/>
    <w:rsid w:val="328C321D"/>
    <w:rsid w:val="3291704D"/>
    <w:rsid w:val="32933847"/>
    <w:rsid w:val="3296737C"/>
    <w:rsid w:val="32973213"/>
    <w:rsid w:val="32990A38"/>
    <w:rsid w:val="329D070B"/>
    <w:rsid w:val="329F4EC8"/>
    <w:rsid w:val="32A01FA9"/>
    <w:rsid w:val="32A221C5"/>
    <w:rsid w:val="32A25209"/>
    <w:rsid w:val="32A45F3D"/>
    <w:rsid w:val="32A86426"/>
    <w:rsid w:val="32AA2115"/>
    <w:rsid w:val="32AB107A"/>
    <w:rsid w:val="32AC094E"/>
    <w:rsid w:val="32B31D62"/>
    <w:rsid w:val="32B36180"/>
    <w:rsid w:val="32B53CA7"/>
    <w:rsid w:val="32B72DD5"/>
    <w:rsid w:val="32B85545"/>
    <w:rsid w:val="32BC0174"/>
    <w:rsid w:val="32BC0C02"/>
    <w:rsid w:val="32BD00AD"/>
    <w:rsid w:val="32BD337D"/>
    <w:rsid w:val="32C043F9"/>
    <w:rsid w:val="32C3340F"/>
    <w:rsid w:val="32C73E4F"/>
    <w:rsid w:val="32CA522C"/>
    <w:rsid w:val="32CB1387"/>
    <w:rsid w:val="32CE1DBF"/>
    <w:rsid w:val="32D11349"/>
    <w:rsid w:val="32D51026"/>
    <w:rsid w:val="32D54AFE"/>
    <w:rsid w:val="32D7672C"/>
    <w:rsid w:val="32D81751"/>
    <w:rsid w:val="32D840DB"/>
    <w:rsid w:val="32DD41EA"/>
    <w:rsid w:val="32DF6F75"/>
    <w:rsid w:val="32E0684A"/>
    <w:rsid w:val="32E06F39"/>
    <w:rsid w:val="32E20814"/>
    <w:rsid w:val="32E53105"/>
    <w:rsid w:val="32E60A23"/>
    <w:rsid w:val="32E75E2A"/>
    <w:rsid w:val="32E85BF9"/>
    <w:rsid w:val="32EB591A"/>
    <w:rsid w:val="32EE71B8"/>
    <w:rsid w:val="32F2340A"/>
    <w:rsid w:val="32F56799"/>
    <w:rsid w:val="32F72D0D"/>
    <w:rsid w:val="32FA4D78"/>
    <w:rsid w:val="32FB17B4"/>
    <w:rsid w:val="32FB6DF2"/>
    <w:rsid w:val="32FE07C5"/>
    <w:rsid w:val="32FE1611"/>
    <w:rsid w:val="33017262"/>
    <w:rsid w:val="33022C64"/>
    <w:rsid w:val="33037E5D"/>
    <w:rsid w:val="33062E4E"/>
    <w:rsid w:val="330968F9"/>
    <w:rsid w:val="33097783"/>
    <w:rsid w:val="330B58CF"/>
    <w:rsid w:val="330C1F13"/>
    <w:rsid w:val="330E2BA0"/>
    <w:rsid w:val="330F4CAA"/>
    <w:rsid w:val="33122EA7"/>
    <w:rsid w:val="33126F15"/>
    <w:rsid w:val="33132CA0"/>
    <w:rsid w:val="33137B3D"/>
    <w:rsid w:val="331704BD"/>
    <w:rsid w:val="331739C7"/>
    <w:rsid w:val="3317622C"/>
    <w:rsid w:val="33182E4D"/>
    <w:rsid w:val="331A1D5C"/>
    <w:rsid w:val="331F3816"/>
    <w:rsid w:val="33213779"/>
    <w:rsid w:val="33226E62"/>
    <w:rsid w:val="332379B7"/>
    <w:rsid w:val="33244988"/>
    <w:rsid w:val="3324544E"/>
    <w:rsid w:val="33254A0D"/>
    <w:rsid w:val="33264BA4"/>
    <w:rsid w:val="3328091C"/>
    <w:rsid w:val="33291F9F"/>
    <w:rsid w:val="332B3245"/>
    <w:rsid w:val="332B3F69"/>
    <w:rsid w:val="333077D1"/>
    <w:rsid w:val="333170A5"/>
    <w:rsid w:val="3337290D"/>
    <w:rsid w:val="333813DD"/>
    <w:rsid w:val="333948D8"/>
    <w:rsid w:val="333A41AC"/>
    <w:rsid w:val="333F7A14"/>
    <w:rsid w:val="334018D4"/>
    <w:rsid w:val="33436884"/>
    <w:rsid w:val="3344659A"/>
    <w:rsid w:val="33446DD8"/>
    <w:rsid w:val="334961DE"/>
    <w:rsid w:val="33496E63"/>
    <w:rsid w:val="334B10D2"/>
    <w:rsid w:val="334D60A9"/>
    <w:rsid w:val="334F1407"/>
    <w:rsid w:val="334F40FB"/>
    <w:rsid w:val="33501C21"/>
    <w:rsid w:val="33521752"/>
    <w:rsid w:val="33523E29"/>
    <w:rsid w:val="33530C43"/>
    <w:rsid w:val="33580D40"/>
    <w:rsid w:val="33602783"/>
    <w:rsid w:val="33604B12"/>
    <w:rsid w:val="33606C4D"/>
    <w:rsid w:val="336123F3"/>
    <w:rsid w:val="33627CC8"/>
    <w:rsid w:val="336C1B92"/>
    <w:rsid w:val="336D4581"/>
    <w:rsid w:val="33705E1F"/>
    <w:rsid w:val="33721B98"/>
    <w:rsid w:val="33736F54"/>
    <w:rsid w:val="33784CD4"/>
    <w:rsid w:val="337B40DA"/>
    <w:rsid w:val="337E22EA"/>
    <w:rsid w:val="337F42B4"/>
    <w:rsid w:val="33802506"/>
    <w:rsid w:val="338048CA"/>
    <w:rsid w:val="338418CB"/>
    <w:rsid w:val="33841BBE"/>
    <w:rsid w:val="338435D9"/>
    <w:rsid w:val="33857244"/>
    <w:rsid w:val="33891BBE"/>
    <w:rsid w:val="338D539B"/>
    <w:rsid w:val="338E2106"/>
    <w:rsid w:val="338F274A"/>
    <w:rsid w:val="339715FE"/>
    <w:rsid w:val="33972C63"/>
    <w:rsid w:val="339909F4"/>
    <w:rsid w:val="339935C8"/>
    <w:rsid w:val="339E0197"/>
    <w:rsid w:val="339E244D"/>
    <w:rsid w:val="33A037D0"/>
    <w:rsid w:val="33A31D51"/>
    <w:rsid w:val="33A67A93"/>
    <w:rsid w:val="33A87367"/>
    <w:rsid w:val="33B163B8"/>
    <w:rsid w:val="33B233D1"/>
    <w:rsid w:val="33B27ED7"/>
    <w:rsid w:val="33B33100"/>
    <w:rsid w:val="33B60032"/>
    <w:rsid w:val="33B628A5"/>
    <w:rsid w:val="33B64B03"/>
    <w:rsid w:val="33BA3B63"/>
    <w:rsid w:val="33BB15DB"/>
    <w:rsid w:val="33BC72B7"/>
    <w:rsid w:val="33BE26BD"/>
    <w:rsid w:val="33C00B55"/>
    <w:rsid w:val="33C127D5"/>
    <w:rsid w:val="33C817B8"/>
    <w:rsid w:val="33CA094F"/>
    <w:rsid w:val="33CA19D4"/>
    <w:rsid w:val="33CD1A22"/>
    <w:rsid w:val="33CD5020"/>
    <w:rsid w:val="33D12D62"/>
    <w:rsid w:val="33D26ADA"/>
    <w:rsid w:val="33D71023"/>
    <w:rsid w:val="33D84266"/>
    <w:rsid w:val="33DC00D5"/>
    <w:rsid w:val="33DC4E65"/>
    <w:rsid w:val="33DE722D"/>
    <w:rsid w:val="33E04D53"/>
    <w:rsid w:val="33E76A59"/>
    <w:rsid w:val="33E84F34"/>
    <w:rsid w:val="33E94ECE"/>
    <w:rsid w:val="33EB2CB6"/>
    <w:rsid w:val="33ED40D4"/>
    <w:rsid w:val="33ED7470"/>
    <w:rsid w:val="33EF019E"/>
    <w:rsid w:val="33EF143A"/>
    <w:rsid w:val="33F15215"/>
    <w:rsid w:val="33F15B06"/>
    <w:rsid w:val="33F20F2A"/>
    <w:rsid w:val="33F35416"/>
    <w:rsid w:val="33F53105"/>
    <w:rsid w:val="33F7102F"/>
    <w:rsid w:val="33F8431A"/>
    <w:rsid w:val="33F9299F"/>
    <w:rsid w:val="33F95E15"/>
    <w:rsid w:val="33FB4526"/>
    <w:rsid w:val="34000F51"/>
    <w:rsid w:val="3404613E"/>
    <w:rsid w:val="34052856"/>
    <w:rsid w:val="34056568"/>
    <w:rsid w:val="34076784"/>
    <w:rsid w:val="340842AA"/>
    <w:rsid w:val="340A4B87"/>
    <w:rsid w:val="340A6274"/>
    <w:rsid w:val="340E25D9"/>
    <w:rsid w:val="340E5128"/>
    <w:rsid w:val="340F7891"/>
    <w:rsid w:val="34105732"/>
    <w:rsid w:val="34125129"/>
    <w:rsid w:val="34176433"/>
    <w:rsid w:val="341E57FD"/>
    <w:rsid w:val="3422536C"/>
    <w:rsid w:val="342370B7"/>
    <w:rsid w:val="3425557B"/>
    <w:rsid w:val="3426167E"/>
    <w:rsid w:val="34265140"/>
    <w:rsid w:val="342B3D60"/>
    <w:rsid w:val="342C17AC"/>
    <w:rsid w:val="342F37A1"/>
    <w:rsid w:val="34300D7F"/>
    <w:rsid w:val="34346E4D"/>
    <w:rsid w:val="34360D4E"/>
    <w:rsid w:val="343800A3"/>
    <w:rsid w:val="34417674"/>
    <w:rsid w:val="34425A0E"/>
    <w:rsid w:val="34432964"/>
    <w:rsid w:val="34461F4F"/>
    <w:rsid w:val="34463906"/>
    <w:rsid w:val="344D249C"/>
    <w:rsid w:val="344D3A6A"/>
    <w:rsid w:val="345046F6"/>
    <w:rsid w:val="345071AC"/>
    <w:rsid w:val="34535315"/>
    <w:rsid w:val="3454129D"/>
    <w:rsid w:val="34566E14"/>
    <w:rsid w:val="3459702D"/>
    <w:rsid w:val="345D089C"/>
    <w:rsid w:val="345E036E"/>
    <w:rsid w:val="345F0BF5"/>
    <w:rsid w:val="346070B6"/>
    <w:rsid w:val="3464452F"/>
    <w:rsid w:val="346E05B1"/>
    <w:rsid w:val="346F10A6"/>
    <w:rsid w:val="3470663E"/>
    <w:rsid w:val="34713BF0"/>
    <w:rsid w:val="34715C75"/>
    <w:rsid w:val="34717E40"/>
    <w:rsid w:val="34722B8F"/>
    <w:rsid w:val="34733E19"/>
    <w:rsid w:val="347E3994"/>
    <w:rsid w:val="347F40F6"/>
    <w:rsid w:val="347F5E5D"/>
    <w:rsid w:val="348002E4"/>
    <w:rsid w:val="34806C8E"/>
    <w:rsid w:val="34807161"/>
    <w:rsid w:val="348140E2"/>
    <w:rsid w:val="34830B01"/>
    <w:rsid w:val="348418B9"/>
    <w:rsid w:val="348D5BC3"/>
    <w:rsid w:val="348D7C1C"/>
    <w:rsid w:val="34923CE9"/>
    <w:rsid w:val="34943B75"/>
    <w:rsid w:val="349500A9"/>
    <w:rsid w:val="349738C4"/>
    <w:rsid w:val="34977E50"/>
    <w:rsid w:val="34986972"/>
    <w:rsid w:val="349A6C00"/>
    <w:rsid w:val="349B25CF"/>
    <w:rsid w:val="349C5800"/>
    <w:rsid w:val="349E4855"/>
    <w:rsid w:val="34A0489E"/>
    <w:rsid w:val="34A13845"/>
    <w:rsid w:val="34A22009"/>
    <w:rsid w:val="34A35D81"/>
    <w:rsid w:val="34A57D4B"/>
    <w:rsid w:val="34A70B4E"/>
    <w:rsid w:val="34A83C21"/>
    <w:rsid w:val="34A96B37"/>
    <w:rsid w:val="34AB73C1"/>
    <w:rsid w:val="34AF2977"/>
    <w:rsid w:val="34B1049E"/>
    <w:rsid w:val="34B10EC1"/>
    <w:rsid w:val="34B41DF5"/>
    <w:rsid w:val="34B64128"/>
    <w:rsid w:val="34BC7E3E"/>
    <w:rsid w:val="34C317C4"/>
    <w:rsid w:val="34C6426E"/>
    <w:rsid w:val="34C74165"/>
    <w:rsid w:val="34C828D4"/>
    <w:rsid w:val="34CB71C1"/>
    <w:rsid w:val="34CE72A2"/>
    <w:rsid w:val="34D02E6D"/>
    <w:rsid w:val="34D04DC8"/>
    <w:rsid w:val="34D12642"/>
    <w:rsid w:val="34D348B8"/>
    <w:rsid w:val="34D41E1F"/>
    <w:rsid w:val="34D67F04"/>
    <w:rsid w:val="34D8242C"/>
    <w:rsid w:val="34D87985"/>
    <w:rsid w:val="34D96378"/>
    <w:rsid w:val="34DA2504"/>
    <w:rsid w:val="34DB19BE"/>
    <w:rsid w:val="34E06697"/>
    <w:rsid w:val="34E41BBF"/>
    <w:rsid w:val="34E97C37"/>
    <w:rsid w:val="34EB1585"/>
    <w:rsid w:val="34F01052"/>
    <w:rsid w:val="34F14D3E"/>
    <w:rsid w:val="34F43A5D"/>
    <w:rsid w:val="34F57724"/>
    <w:rsid w:val="34F806DE"/>
    <w:rsid w:val="34F91E32"/>
    <w:rsid w:val="34FD6102"/>
    <w:rsid w:val="35064C8D"/>
    <w:rsid w:val="35070379"/>
    <w:rsid w:val="35072633"/>
    <w:rsid w:val="350D0CF3"/>
    <w:rsid w:val="350D601C"/>
    <w:rsid w:val="350D6677"/>
    <w:rsid w:val="351078BA"/>
    <w:rsid w:val="35110EB2"/>
    <w:rsid w:val="35150670"/>
    <w:rsid w:val="35161DF3"/>
    <w:rsid w:val="35163AD4"/>
    <w:rsid w:val="3517254D"/>
    <w:rsid w:val="3517679D"/>
    <w:rsid w:val="35190E1D"/>
    <w:rsid w:val="351B2863"/>
    <w:rsid w:val="351B5D52"/>
    <w:rsid w:val="351D20DF"/>
    <w:rsid w:val="351D554D"/>
    <w:rsid w:val="351D5B33"/>
    <w:rsid w:val="351E0C52"/>
    <w:rsid w:val="351F18AB"/>
    <w:rsid w:val="35214F9D"/>
    <w:rsid w:val="352256B5"/>
    <w:rsid w:val="3523725E"/>
    <w:rsid w:val="35245CED"/>
    <w:rsid w:val="35257CD9"/>
    <w:rsid w:val="352B0250"/>
    <w:rsid w:val="352C0BA9"/>
    <w:rsid w:val="352E7D40"/>
    <w:rsid w:val="352F594C"/>
    <w:rsid w:val="353100E1"/>
    <w:rsid w:val="35386E11"/>
    <w:rsid w:val="35391081"/>
    <w:rsid w:val="353F3CFB"/>
    <w:rsid w:val="35402BA4"/>
    <w:rsid w:val="35475F40"/>
    <w:rsid w:val="35484B2A"/>
    <w:rsid w:val="35485E23"/>
    <w:rsid w:val="354A4B3F"/>
    <w:rsid w:val="354B0D9B"/>
    <w:rsid w:val="354C08D3"/>
    <w:rsid w:val="354C0E28"/>
    <w:rsid w:val="354D466A"/>
    <w:rsid w:val="354D4D6B"/>
    <w:rsid w:val="35510733"/>
    <w:rsid w:val="35531169"/>
    <w:rsid w:val="35546A60"/>
    <w:rsid w:val="35577297"/>
    <w:rsid w:val="35581127"/>
    <w:rsid w:val="35586B6B"/>
    <w:rsid w:val="355A0493"/>
    <w:rsid w:val="355C6F55"/>
    <w:rsid w:val="356154FB"/>
    <w:rsid w:val="35633E8E"/>
    <w:rsid w:val="35690D78"/>
    <w:rsid w:val="356C2617"/>
    <w:rsid w:val="356F32A8"/>
    <w:rsid w:val="35700993"/>
    <w:rsid w:val="35731E75"/>
    <w:rsid w:val="357426A8"/>
    <w:rsid w:val="35773495"/>
    <w:rsid w:val="35816643"/>
    <w:rsid w:val="3584725E"/>
    <w:rsid w:val="35866754"/>
    <w:rsid w:val="35880EEA"/>
    <w:rsid w:val="358B36F5"/>
    <w:rsid w:val="35946D0D"/>
    <w:rsid w:val="35956011"/>
    <w:rsid w:val="35957DBF"/>
    <w:rsid w:val="35971C46"/>
    <w:rsid w:val="359730AE"/>
    <w:rsid w:val="35973E3A"/>
    <w:rsid w:val="3598340C"/>
    <w:rsid w:val="35A217D6"/>
    <w:rsid w:val="35A23692"/>
    <w:rsid w:val="35A26038"/>
    <w:rsid w:val="35A3123D"/>
    <w:rsid w:val="35A31D22"/>
    <w:rsid w:val="35A63D7A"/>
    <w:rsid w:val="35A65B28"/>
    <w:rsid w:val="35A87AF3"/>
    <w:rsid w:val="35AA386B"/>
    <w:rsid w:val="35AC6F1E"/>
    <w:rsid w:val="35B226C0"/>
    <w:rsid w:val="35B31731"/>
    <w:rsid w:val="35B46497"/>
    <w:rsid w:val="35B53FBD"/>
    <w:rsid w:val="35B53FBE"/>
    <w:rsid w:val="35B73417"/>
    <w:rsid w:val="35B80F6E"/>
    <w:rsid w:val="35BA15D4"/>
    <w:rsid w:val="35BD17EC"/>
    <w:rsid w:val="35C04DDC"/>
    <w:rsid w:val="35C57292"/>
    <w:rsid w:val="35C60B91"/>
    <w:rsid w:val="35CA4616"/>
    <w:rsid w:val="35CB30AC"/>
    <w:rsid w:val="35CB372A"/>
    <w:rsid w:val="35CF32D1"/>
    <w:rsid w:val="35CF3479"/>
    <w:rsid w:val="35D22DC1"/>
    <w:rsid w:val="35D46D50"/>
    <w:rsid w:val="35D5640E"/>
    <w:rsid w:val="35D76030"/>
    <w:rsid w:val="35D82499"/>
    <w:rsid w:val="35DC154A"/>
    <w:rsid w:val="35E137AB"/>
    <w:rsid w:val="35E53876"/>
    <w:rsid w:val="35EB79DF"/>
    <w:rsid w:val="35EC2DDE"/>
    <w:rsid w:val="35ED2EAC"/>
    <w:rsid w:val="35EE48AA"/>
    <w:rsid w:val="35F05961"/>
    <w:rsid w:val="35F172A6"/>
    <w:rsid w:val="35F35CD4"/>
    <w:rsid w:val="35F42AB6"/>
    <w:rsid w:val="35F745D6"/>
    <w:rsid w:val="35F96A06"/>
    <w:rsid w:val="35FB43B4"/>
    <w:rsid w:val="35FC01D3"/>
    <w:rsid w:val="35FC399A"/>
    <w:rsid w:val="35FC7E3E"/>
    <w:rsid w:val="35FD1CBF"/>
    <w:rsid w:val="3604728D"/>
    <w:rsid w:val="36050807"/>
    <w:rsid w:val="36062A6B"/>
    <w:rsid w:val="360B1E2F"/>
    <w:rsid w:val="36103F72"/>
    <w:rsid w:val="36105698"/>
    <w:rsid w:val="3617673D"/>
    <w:rsid w:val="36183774"/>
    <w:rsid w:val="361E5010"/>
    <w:rsid w:val="362058DB"/>
    <w:rsid w:val="3621592E"/>
    <w:rsid w:val="362328CA"/>
    <w:rsid w:val="36242832"/>
    <w:rsid w:val="36262C2C"/>
    <w:rsid w:val="362829E1"/>
    <w:rsid w:val="36296BDA"/>
    <w:rsid w:val="362D2CD3"/>
    <w:rsid w:val="362F5B1E"/>
    <w:rsid w:val="36356EAC"/>
    <w:rsid w:val="363870C8"/>
    <w:rsid w:val="363B0BB2"/>
    <w:rsid w:val="363E0457"/>
    <w:rsid w:val="364041CF"/>
    <w:rsid w:val="36415851"/>
    <w:rsid w:val="36435A6D"/>
    <w:rsid w:val="364C15BA"/>
    <w:rsid w:val="364C5FEB"/>
    <w:rsid w:val="364E11CC"/>
    <w:rsid w:val="364E297F"/>
    <w:rsid w:val="3651018A"/>
    <w:rsid w:val="36514558"/>
    <w:rsid w:val="36575075"/>
    <w:rsid w:val="36594EEE"/>
    <w:rsid w:val="36651B85"/>
    <w:rsid w:val="36687282"/>
    <w:rsid w:val="366A2FFA"/>
    <w:rsid w:val="366C4FC4"/>
    <w:rsid w:val="366F0610"/>
    <w:rsid w:val="36704647"/>
    <w:rsid w:val="367125DA"/>
    <w:rsid w:val="36714388"/>
    <w:rsid w:val="36721EAF"/>
    <w:rsid w:val="367415BD"/>
    <w:rsid w:val="36745C27"/>
    <w:rsid w:val="3676374D"/>
    <w:rsid w:val="367774C5"/>
    <w:rsid w:val="36781325"/>
    <w:rsid w:val="367A363F"/>
    <w:rsid w:val="367B5207"/>
    <w:rsid w:val="367C2A40"/>
    <w:rsid w:val="367D2D2D"/>
    <w:rsid w:val="367F59CC"/>
    <w:rsid w:val="36806379"/>
    <w:rsid w:val="368307C3"/>
    <w:rsid w:val="3685016F"/>
    <w:rsid w:val="36860C95"/>
    <w:rsid w:val="36864E20"/>
    <w:rsid w:val="368816D2"/>
    <w:rsid w:val="368A369C"/>
    <w:rsid w:val="368D302B"/>
    <w:rsid w:val="368F01DD"/>
    <w:rsid w:val="36903EA8"/>
    <w:rsid w:val="36912AF6"/>
    <w:rsid w:val="36951E96"/>
    <w:rsid w:val="36955961"/>
    <w:rsid w:val="36962F7E"/>
    <w:rsid w:val="36965034"/>
    <w:rsid w:val="369B3170"/>
    <w:rsid w:val="369C3932"/>
    <w:rsid w:val="369E0EF6"/>
    <w:rsid w:val="36A12BE6"/>
    <w:rsid w:val="36A24542"/>
    <w:rsid w:val="36AA0DE7"/>
    <w:rsid w:val="36AA789A"/>
    <w:rsid w:val="36AB1EB1"/>
    <w:rsid w:val="36AE1139"/>
    <w:rsid w:val="36AF4EB1"/>
    <w:rsid w:val="36B21309"/>
    <w:rsid w:val="36B83D65"/>
    <w:rsid w:val="36BB29BD"/>
    <w:rsid w:val="36BD2DCD"/>
    <w:rsid w:val="36BD5460"/>
    <w:rsid w:val="36BF2D5D"/>
    <w:rsid w:val="36C05FB5"/>
    <w:rsid w:val="36C102B2"/>
    <w:rsid w:val="36C16503"/>
    <w:rsid w:val="36C22E36"/>
    <w:rsid w:val="36C330BA"/>
    <w:rsid w:val="36C506C1"/>
    <w:rsid w:val="36C554CC"/>
    <w:rsid w:val="36C61396"/>
    <w:rsid w:val="36C81818"/>
    <w:rsid w:val="36CC393B"/>
    <w:rsid w:val="36D056D3"/>
    <w:rsid w:val="36D13079"/>
    <w:rsid w:val="36D21734"/>
    <w:rsid w:val="36D7507E"/>
    <w:rsid w:val="36D84407"/>
    <w:rsid w:val="36D87F64"/>
    <w:rsid w:val="36DD1A1E"/>
    <w:rsid w:val="36E75B66"/>
    <w:rsid w:val="36F43FAB"/>
    <w:rsid w:val="36F56D67"/>
    <w:rsid w:val="36F7582C"/>
    <w:rsid w:val="36F80222"/>
    <w:rsid w:val="36F917BD"/>
    <w:rsid w:val="36FA7A4A"/>
    <w:rsid w:val="36FD28DF"/>
    <w:rsid w:val="37001B34"/>
    <w:rsid w:val="370136F2"/>
    <w:rsid w:val="3702375D"/>
    <w:rsid w:val="3702754D"/>
    <w:rsid w:val="37070849"/>
    <w:rsid w:val="37076A9B"/>
    <w:rsid w:val="370B226A"/>
    <w:rsid w:val="370B40E0"/>
    <w:rsid w:val="370B53FD"/>
    <w:rsid w:val="370E1BD7"/>
    <w:rsid w:val="370F373E"/>
    <w:rsid w:val="3710267E"/>
    <w:rsid w:val="37135123"/>
    <w:rsid w:val="3714410A"/>
    <w:rsid w:val="371669D8"/>
    <w:rsid w:val="37180CA8"/>
    <w:rsid w:val="371A4A20"/>
    <w:rsid w:val="371D1E1A"/>
    <w:rsid w:val="371D328E"/>
    <w:rsid w:val="371F3DE4"/>
    <w:rsid w:val="37215DAE"/>
    <w:rsid w:val="37224CAA"/>
    <w:rsid w:val="372413A9"/>
    <w:rsid w:val="37255F64"/>
    <w:rsid w:val="372907BF"/>
    <w:rsid w:val="372960D2"/>
    <w:rsid w:val="372E3466"/>
    <w:rsid w:val="372E351E"/>
    <w:rsid w:val="37313B18"/>
    <w:rsid w:val="37322513"/>
    <w:rsid w:val="373A52BE"/>
    <w:rsid w:val="373C2029"/>
    <w:rsid w:val="373D686B"/>
    <w:rsid w:val="373E5784"/>
    <w:rsid w:val="373F3965"/>
    <w:rsid w:val="374024C7"/>
    <w:rsid w:val="37405B09"/>
    <w:rsid w:val="374675C3"/>
    <w:rsid w:val="37475536"/>
    <w:rsid w:val="374B5CEF"/>
    <w:rsid w:val="374E1569"/>
    <w:rsid w:val="374E2197"/>
    <w:rsid w:val="375A4E1C"/>
    <w:rsid w:val="375F5E75"/>
    <w:rsid w:val="376334C6"/>
    <w:rsid w:val="376476FE"/>
    <w:rsid w:val="37657060"/>
    <w:rsid w:val="37677539"/>
    <w:rsid w:val="3769199A"/>
    <w:rsid w:val="376932B2"/>
    <w:rsid w:val="376A445D"/>
    <w:rsid w:val="376E2676"/>
    <w:rsid w:val="37702892"/>
    <w:rsid w:val="37705C0D"/>
    <w:rsid w:val="37753A04"/>
    <w:rsid w:val="377640AE"/>
    <w:rsid w:val="377A1165"/>
    <w:rsid w:val="377C7F96"/>
    <w:rsid w:val="377E04A5"/>
    <w:rsid w:val="378079A1"/>
    <w:rsid w:val="37837525"/>
    <w:rsid w:val="378620B5"/>
    <w:rsid w:val="37863E9C"/>
    <w:rsid w:val="3786603E"/>
    <w:rsid w:val="378679C0"/>
    <w:rsid w:val="37890F2E"/>
    <w:rsid w:val="378B139B"/>
    <w:rsid w:val="378B3228"/>
    <w:rsid w:val="378D6FA0"/>
    <w:rsid w:val="37904CE2"/>
    <w:rsid w:val="37926F2C"/>
    <w:rsid w:val="37957CC4"/>
    <w:rsid w:val="379876F3"/>
    <w:rsid w:val="37997376"/>
    <w:rsid w:val="379A52E2"/>
    <w:rsid w:val="379C546A"/>
    <w:rsid w:val="379E0EB2"/>
    <w:rsid w:val="37A304DD"/>
    <w:rsid w:val="37A8202C"/>
    <w:rsid w:val="37A9459C"/>
    <w:rsid w:val="37AD7642"/>
    <w:rsid w:val="37AE05D7"/>
    <w:rsid w:val="37AE57AE"/>
    <w:rsid w:val="37B00EE0"/>
    <w:rsid w:val="37B22EAA"/>
    <w:rsid w:val="37B409D1"/>
    <w:rsid w:val="37B50136"/>
    <w:rsid w:val="37B61337"/>
    <w:rsid w:val="37B7401D"/>
    <w:rsid w:val="37BA3B0D"/>
    <w:rsid w:val="37BA3F28"/>
    <w:rsid w:val="37BB39B6"/>
    <w:rsid w:val="37BB4657"/>
    <w:rsid w:val="37BE0448"/>
    <w:rsid w:val="37BF05C8"/>
    <w:rsid w:val="37BF1F98"/>
    <w:rsid w:val="37C07D38"/>
    <w:rsid w:val="37C13AFD"/>
    <w:rsid w:val="37C17979"/>
    <w:rsid w:val="37C36E66"/>
    <w:rsid w:val="37C56D16"/>
    <w:rsid w:val="37D050B3"/>
    <w:rsid w:val="37D22C05"/>
    <w:rsid w:val="37D33697"/>
    <w:rsid w:val="37D77C20"/>
    <w:rsid w:val="37DF367A"/>
    <w:rsid w:val="37E53B1B"/>
    <w:rsid w:val="37E85491"/>
    <w:rsid w:val="37EA4322"/>
    <w:rsid w:val="37ED2324"/>
    <w:rsid w:val="37ED4F33"/>
    <w:rsid w:val="37EF30B7"/>
    <w:rsid w:val="37F02122"/>
    <w:rsid w:val="37F05781"/>
    <w:rsid w:val="37F13B48"/>
    <w:rsid w:val="37F25055"/>
    <w:rsid w:val="37F473A4"/>
    <w:rsid w:val="37F94635"/>
    <w:rsid w:val="38022BDC"/>
    <w:rsid w:val="380261E1"/>
    <w:rsid w:val="3803304C"/>
    <w:rsid w:val="3805122C"/>
    <w:rsid w:val="38060B00"/>
    <w:rsid w:val="380A2254"/>
    <w:rsid w:val="380C2A4E"/>
    <w:rsid w:val="380D47B8"/>
    <w:rsid w:val="38106964"/>
    <w:rsid w:val="38107BD1"/>
    <w:rsid w:val="381263A7"/>
    <w:rsid w:val="38166926"/>
    <w:rsid w:val="381D4DFF"/>
    <w:rsid w:val="381E22EE"/>
    <w:rsid w:val="381F0274"/>
    <w:rsid w:val="382673F4"/>
    <w:rsid w:val="38270738"/>
    <w:rsid w:val="382A0C93"/>
    <w:rsid w:val="382A15D5"/>
    <w:rsid w:val="3830281F"/>
    <w:rsid w:val="38325D99"/>
    <w:rsid w:val="38334F7A"/>
    <w:rsid w:val="38341B11"/>
    <w:rsid w:val="38350B2F"/>
    <w:rsid w:val="3835381F"/>
    <w:rsid w:val="3835599C"/>
    <w:rsid w:val="3839434E"/>
    <w:rsid w:val="383A080C"/>
    <w:rsid w:val="383E13A1"/>
    <w:rsid w:val="383F7B4B"/>
    <w:rsid w:val="384004B6"/>
    <w:rsid w:val="38415FDC"/>
    <w:rsid w:val="38420FFB"/>
    <w:rsid w:val="384358B1"/>
    <w:rsid w:val="384612EF"/>
    <w:rsid w:val="38462A81"/>
    <w:rsid w:val="38482DD4"/>
    <w:rsid w:val="3848736B"/>
    <w:rsid w:val="38497194"/>
    <w:rsid w:val="384D4C10"/>
    <w:rsid w:val="38507FCD"/>
    <w:rsid w:val="385264CE"/>
    <w:rsid w:val="38541E03"/>
    <w:rsid w:val="38557A0B"/>
    <w:rsid w:val="38593326"/>
    <w:rsid w:val="385A1047"/>
    <w:rsid w:val="385C0A8A"/>
    <w:rsid w:val="385D5986"/>
    <w:rsid w:val="385E2138"/>
    <w:rsid w:val="385E26EA"/>
    <w:rsid w:val="386303D8"/>
    <w:rsid w:val="38640DBF"/>
    <w:rsid w:val="38673C95"/>
    <w:rsid w:val="38683569"/>
    <w:rsid w:val="3869058C"/>
    <w:rsid w:val="386A5533"/>
    <w:rsid w:val="386B57FA"/>
    <w:rsid w:val="386C3059"/>
    <w:rsid w:val="386D4BCC"/>
    <w:rsid w:val="386E302B"/>
    <w:rsid w:val="386E303D"/>
    <w:rsid w:val="38746E9D"/>
    <w:rsid w:val="38763C54"/>
    <w:rsid w:val="38763ED8"/>
    <w:rsid w:val="387A4D88"/>
    <w:rsid w:val="387C0019"/>
    <w:rsid w:val="38804D57"/>
    <w:rsid w:val="38810577"/>
    <w:rsid w:val="388163D9"/>
    <w:rsid w:val="38824C21"/>
    <w:rsid w:val="38847E22"/>
    <w:rsid w:val="38875D4F"/>
    <w:rsid w:val="38877E93"/>
    <w:rsid w:val="38893547"/>
    <w:rsid w:val="388A1731"/>
    <w:rsid w:val="388A34DF"/>
    <w:rsid w:val="388B7BBB"/>
    <w:rsid w:val="388E2615"/>
    <w:rsid w:val="388F0AF6"/>
    <w:rsid w:val="388F6D48"/>
    <w:rsid w:val="389600D6"/>
    <w:rsid w:val="38997E29"/>
    <w:rsid w:val="389B393F"/>
    <w:rsid w:val="389F2AC3"/>
    <w:rsid w:val="38A05F80"/>
    <w:rsid w:val="38A42C8E"/>
    <w:rsid w:val="38A93982"/>
    <w:rsid w:val="38AB30F3"/>
    <w:rsid w:val="38AC7A28"/>
    <w:rsid w:val="38B07E2D"/>
    <w:rsid w:val="38B228C8"/>
    <w:rsid w:val="38B30C88"/>
    <w:rsid w:val="38B36EDA"/>
    <w:rsid w:val="38B4055C"/>
    <w:rsid w:val="38B504A1"/>
    <w:rsid w:val="38B92017"/>
    <w:rsid w:val="38B9743F"/>
    <w:rsid w:val="38BA1928"/>
    <w:rsid w:val="38BB5D8F"/>
    <w:rsid w:val="38BE4948"/>
    <w:rsid w:val="38C154E9"/>
    <w:rsid w:val="38C31894"/>
    <w:rsid w:val="38C369F1"/>
    <w:rsid w:val="38C47809"/>
    <w:rsid w:val="38C72425"/>
    <w:rsid w:val="38C83205"/>
    <w:rsid w:val="38C97EF9"/>
    <w:rsid w:val="38CE2F6C"/>
    <w:rsid w:val="38D34C9F"/>
    <w:rsid w:val="38D34E86"/>
    <w:rsid w:val="38D3552B"/>
    <w:rsid w:val="38D54E74"/>
    <w:rsid w:val="38D64977"/>
    <w:rsid w:val="38D806EF"/>
    <w:rsid w:val="38DA4218"/>
    <w:rsid w:val="38DC1BD2"/>
    <w:rsid w:val="38DF667B"/>
    <w:rsid w:val="38E012BF"/>
    <w:rsid w:val="38E2156D"/>
    <w:rsid w:val="38E555A6"/>
    <w:rsid w:val="38E84B8C"/>
    <w:rsid w:val="38EC1D92"/>
    <w:rsid w:val="38F046CC"/>
    <w:rsid w:val="38F31085"/>
    <w:rsid w:val="38F512A1"/>
    <w:rsid w:val="38F534C7"/>
    <w:rsid w:val="38F85BFF"/>
    <w:rsid w:val="38FA68B7"/>
    <w:rsid w:val="38FF1A9E"/>
    <w:rsid w:val="38FF219D"/>
    <w:rsid w:val="390019F4"/>
    <w:rsid w:val="3901110C"/>
    <w:rsid w:val="3903572B"/>
    <w:rsid w:val="39047124"/>
    <w:rsid w:val="39073753"/>
    <w:rsid w:val="39077C5C"/>
    <w:rsid w:val="390D1E81"/>
    <w:rsid w:val="390D691C"/>
    <w:rsid w:val="390E1234"/>
    <w:rsid w:val="390E33BD"/>
    <w:rsid w:val="3911775D"/>
    <w:rsid w:val="39127659"/>
    <w:rsid w:val="39127A32"/>
    <w:rsid w:val="39142005"/>
    <w:rsid w:val="39164B79"/>
    <w:rsid w:val="3917631F"/>
    <w:rsid w:val="39180AEB"/>
    <w:rsid w:val="391B1B5B"/>
    <w:rsid w:val="391C66C3"/>
    <w:rsid w:val="391D4354"/>
    <w:rsid w:val="391D5685"/>
    <w:rsid w:val="391F631E"/>
    <w:rsid w:val="39203E44"/>
    <w:rsid w:val="39253208"/>
    <w:rsid w:val="39273424"/>
    <w:rsid w:val="3927370A"/>
    <w:rsid w:val="39292CF8"/>
    <w:rsid w:val="392D7E13"/>
    <w:rsid w:val="392F23CB"/>
    <w:rsid w:val="392F7A6D"/>
    <w:rsid w:val="39343DBC"/>
    <w:rsid w:val="39376BB5"/>
    <w:rsid w:val="3938118D"/>
    <w:rsid w:val="393873DF"/>
    <w:rsid w:val="393956F0"/>
    <w:rsid w:val="393D67A4"/>
    <w:rsid w:val="39405A35"/>
    <w:rsid w:val="39406294"/>
    <w:rsid w:val="39413941"/>
    <w:rsid w:val="3941687A"/>
    <w:rsid w:val="39427096"/>
    <w:rsid w:val="39437D0B"/>
    <w:rsid w:val="39457230"/>
    <w:rsid w:val="39461AFC"/>
    <w:rsid w:val="39463C3B"/>
    <w:rsid w:val="394915ED"/>
    <w:rsid w:val="394B7113"/>
    <w:rsid w:val="394F0285"/>
    <w:rsid w:val="394F549A"/>
    <w:rsid w:val="39516662"/>
    <w:rsid w:val="395177EF"/>
    <w:rsid w:val="395322E3"/>
    <w:rsid w:val="39573C2F"/>
    <w:rsid w:val="39595543"/>
    <w:rsid w:val="395E0B61"/>
    <w:rsid w:val="395F496C"/>
    <w:rsid w:val="396160AE"/>
    <w:rsid w:val="396226AE"/>
    <w:rsid w:val="396446BF"/>
    <w:rsid w:val="396514F7"/>
    <w:rsid w:val="39653465"/>
    <w:rsid w:val="39666B02"/>
    <w:rsid w:val="396846BD"/>
    <w:rsid w:val="396A1665"/>
    <w:rsid w:val="396A50BF"/>
    <w:rsid w:val="396B07B7"/>
    <w:rsid w:val="396C20DF"/>
    <w:rsid w:val="3971469F"/>
    <w:rsid w:val="39720087"/>
    <w:rsid w:val="39754E22"/>
    <w:rsid w:val="39763262"/>
    <w:rsid w:val="3977343C"/>
    <w:rsid w:val="397A3554"/>
    <w:rsid w:val="397B72CC"/>
    <w:rsid w:val="397F057A"/>
    <w:rsid w:val="397F0B6A"/>
    <w:rsid w:val="398071CC"/>
    <w:rsid w:val="39835FBA"/>
    <w:rsid w:val="3984007D"/>
    <w:rsid w:val="3984249C"/>
    <w:rsid w:val="39882115"/>
    <w:rsid w:val="398E5251"/>
    <w:rsid w:val="398E6CC1"/>
    <w:rsid w:val="39904B26"/>
    <w:rsid w:val="39921C26"/>
    <w:rsid w:val="39932868"/>
    <w:rsid w:val="39934616"/>
    <w:rsid w:val="39946E87"/>
    <w:rsid w:val="399A59A4"/>
    <w:rsid w:val="399E14CB"/>
    <w:rsid w:val="399F120C"/>
    <w:rsid w:val="39A1076E"/>
    <w:rsid w:val="39A14F85"/>
    <w:rsid w:val="39A15CD6"/>
    <w:rsid w:val="39A20CFD"/>
    <w:rsid w:val="39A24859"/>
    <w:rsid w:val="39A34826"/>
    <w:rsid w:val="39AA097E"/>
    <w:rsid w:val="39AC6B4D"/>
    <w:rsid w:val="39AE31FE"/>
    <w:rsid w:val="39B36A66"/>
    <w:rsid w:val="39B6766C"/>
    <w:rsid w:val="39B70E0A"/>
    <w:rsid w:val="39BA6046"/>
    <w:rsid w:val="39BC4BB7"/>
    <w:rsid w:val="39BD1E95"/>
    <w:rsid w:val="39BF0A17"/>
    <w:rsid w:val="39C2013A"/>
    <w:rsid w:val="39CC0FA1"/>
    <w:rsid w:val="39CD0D1D"/>
    <w:rsid w:val="39CD7B28"/>
    <w:rsid w:val="39D37108"/>
    <w:rsid w:val="39D54117"/>
    <w:rsid w:val="39DA2245"/>
    <w:rsid w:val="39DC0409"/>
    <w:rsid w:val="39DD7000"/>
    <w:rsid w:val="39DE3292"/>
    <w:rsid w:val="39DE56B7"/>
    <w:rsid w:val="39DF5AAD"/>
    <w:rsid w:val="39E11825"/>
    <w:rsid w:val="39E135D3"/>
    <w:rsid w:val="39E210F9"/>
    <w:rsid w:val="39E3559D"/>
    <w:rsid w:val="39E46197"/>
    <w:rsid w:val="39ED0E0C"/>
    <w:rsid w:val="39F01A68"/>
    <w:rsid w:val="39F250FA"/>
    <w:rsid w:val="39F2758E"/>
    <w:rsid w:val="39F417D7"/>
    <w:rsid w:val="39F50E2C"/>
    <w:rsid w:val="39F7622E"/>
    <w:rsid w:val="39FE23D7"/>
    <w:rsid w:val="39FE3B16"/>
    <w:rsid w:val="39FF07CD"/>
    <w:rsid w:val="3A007301"/>
    <w:rsid w:val="3A033549"/>
    <w:rsid w:val="3A042A15"/>
    <w:rsid w:val="3A04352B"/>
    <w:rsid w:val="3A06128C"/>
    <w:rsid w:val="3A0840EB"/>
    <w:rsid w:val="3A0905E6"/>
    <w:rsid w:val="3A0C25D3"/>
    <w:rsid w:val="3A0F6A8D"/>
    <w:rsid w:val="3A10210A"/>
    <w:rsid w:val="3A104678"/>
    <w:rsid w:val="3A105C66"/>
    <w:rsid w:val="3A137505"/>
    <w:rsid w:val="3A1434E1"/>
    <w:rsid w:val="3A1514CF"/>
    <w:rsid w:val="3A157C91"/>
    <w:rsid w:val="3A17360B"/>
    <w:rsid w:val="3A176B18"/>
    <w:rsid w:val="3A1A6AE5"/>
    <w:rsid w:val="3A24046A"/>
    <w:rsid w:val="3A2641F7"/>
    <w:rsid w:val="3A295BCE"/>
    <w:rsid w:val="3A2A4F7A"/>
    <w:rsid w:val="3A2F1E22"/>
    <w:rsid w:val="3A3052A6"/>
    <w:rsid w:val="3A3B7187"/>
    <w:rsid w:val="3A3F0FB4"/>
    <w:rsid w:val="3A43603C"/>
    <w:rsid w:val="3A461688"/>
    <w:rsid w:val="3A465B2C"/>
    <w:rsid w:val="3A4A1178"/>
    <w:rsid w:val="3A4A561C"/>
    <w:rsid w:val="3A4B5E6B"/>
    <w:rsid w:val="3A4D247E"/>
    <w:rsid w:val="3A4F7367"/>
    <w:rsid w:val="3A507A5E"/>
    <w:rsid w:val="3A5266C6"/>
    <w:rsid w:val="3A562392"/>
    <w:rsid w:val="3A575643"/>
    <w:rsid w:val="3A59542D"/>
    <w:rsid w:val="3A5A03B7"/>
    <w:rsid w:val="3A614714"/>
    <w:rsid w:val="3A6600F7"/>
    <w:rsid w:val="3A660F7D"/>
    <w:rsid w:val="3A6D6AE1"/>
    <w:rsid w:val="3A6F6E31"/>
    <w:rsid w:val="3A726706"/>
    <w:rsid w:val="3A73364A"/>
    <w:rsid w:val="3A7461F5"/>
    <w:rsid w:val="3A7561E1"/>
    <w:rsid w:val="3A770978"/>
    <w:rsid w:val="3A775AF1"/>
    <w:rsid w:val="3A777A93"/>
    <w:rsid w:val="3A7C154E"/>
    <w:rsid w:val="3A7C7AC5"/>
    <w:rsid w:val="3A7D5F35"/>
    <w:rsid w:val="3A7D670E"/>
    <w:rsid w:val="3A7E2357"/>
    <w:rsid w:val="3A7E3F37"/>
    <w:rsid w:val="3A801161"/>
    <w:rsid w:val="3A831969"/>
    <w:rsid w:val="3A833E8B"/>
    <w:rsid w:val="3A856654"/>
    <w:rsid w:val="3A8E1EEC"/>
    <w:rsid w:val="3A914FF9"/>
    <w:rsid w:val="3A944AE9"/>
    <w:rsid w:val="3A944B42"/>
    <w:rsid w:val="3A945A5F"/>
    <w:rsid w:val="3A95616C"/>
    <w:rsid w:val="3A9753A2"/>
    <w:rsid w:val="3A9C5AF2"/>
    <w:rsid w:val="3A9E5239"/>
    <w:rsid w:val="3A9F425A"/>
    <w:rsid w:val="3AA075B8"/>
    <w:rsid w:val="3AA75A12"/>
    <w:rsid w:val="3AAA60BB"/>
    <w:rsid w:val="3AAB598F"/>
    <w:rsid w:val="3AAC0851"/>
    <w:rsid w:val="3AAD103B"/>
    <w:rsid w:val="3AAD5BAB"/>
    <w:rsid w:val="3AAE4C28"/>
    <w:rsid w:val="3AAF2A2F"/>
    <w:rsid w:val="3AAF547F"/>
    <w:rsid w:val="3AB07DE7"/>
    <w:rsid w:val="3AB34B40"/>
    <w:rsid w:val="3AB7520D"/>
    <w:rsid w:val="3AB86C18"/>
    <w:rsid w:val="3AB94E94"/>
    <w:rsid w:val="3ABF4DE6"/>
    <w:rsid w:val="3AC02F19"/>
    <w:rsid w:val="3AC15B6A"/>
    <w:rsid w:val="3AC16F61"/>
    <w:rsid w:val="3AC2410F"/>
    <w:rsid w:val="3AC3717D"/>
    <w:rsid w:val="3AC56A51"/>
    <w:rsid w:val="3AC727C9"/>
    <w:rsid w:val="3ACD7490"/>
    <w:rsid w:val="3AD13648"/>
    <w:rsid w:val="3AD418E4"/>
    <w:rsid w:val="3AD520F2"/>
    <w:rsid w:val="3AD756A7"/>
    <w:rsid w:val="3AD77881"/>
    <w:rsid w:val="3AD82C28"/>
    <w:rsid w:val="3AD84FA6"/>
    <w:rsid w:val="3AE03B6A"/>
    <w:rsid w:val="3AE35129"/>
    <w:rsid w:val="3AE643FC"/>
    <w:rsid w:val="3AEC3D26"/>
    <w:rsid w:val="3AED5FA8"/>
    <w:rsid w:val="3AF018C7"/>
    <w:rsid w:val="3AF23F72"/>
    <w:rsid w:val="3AF33234"/>
    <w:rsid w:val="3AF37EFD"/>
    <w:rsid w:val="3AF630E4"/>
    <w:rsid w:val="3AF64B05"/>
    <w:rsid w:val="3AF64E5C"/>
    <w:rsid w:val="3AFF227B"/>
    <w:rsid w:val="3B0339A1"/>
    <w:rsid w:val="3B040D25"/>
    <w:rsid w:val="3B0532F1"/>
    <w:rsid w:val="3B066219"/>
    <w:rsid w:val="3B0B730F"/>
    <w:rsid w:val="3B0D4DB4"/>
    <w:rsid w:val="3B0F1E3E"/>
    <w:rsid w:val="3B117D7C"/>
    <w:rsid w:val="3B1427DB"/>
    <w:rsid w:val="3B174613"/>
    <w:rsid w:val="3B1822C8"/>
    <w:rsid w:val="3B1874C8"/>
    <w:rsid w:val="3B190B4B"/>
    <w:rsid w:val="3B196A5C"/>
    <w:rsid w:val="3B1D4EF5"/>
    <w:rsid w:val="3B222790"/>
    <w:rsid w:val="3B223EA3"/>
    <w:rsid w:val="3B234033"/>
    <w:rsid w:val="3B234E12"/>
    <w:rsid w:val="3B245E6D"/>
    <w:rsid w:val="3B260A6C"/>
    <w:rsid w:val="3B281F39"/>
    <w:rsid w:val="3B2D5011"/>
    <w:rsid w:val="3B2D6E35"/>
    <w:rsid w:val="3B304812"/>
    <w:rsid w:val="3B3061BC"/>
    <w:rsid w:val="3B334302"/>
    <w:rsid w:val="3B337E5E"/>
    <w:rsid w:val="3B384F2D"/>
    <w:rsid w:val="3B3E2CBB"/>
    <w:rsid w:val="3B443E1A"/>
    <w:rsid w:val="3B466B2B"/>
    <w:rsid w:val="3B4958D4"/>
    <w:rsid w:val="3B4B164C"/>
    <w:rsid w:val="3B4C3A92"/>
    <w:rsid w:val="3B550268"/>
    <w:rsid w:val="3B555080"/>
    <w:rsid w:val="3B5B07E4"/>
    <w:rsid w:val="3B5F50F7"/>
    <w:rsid w:val="3B6444BC"/>
    <w:rsid w:val="3B672FAD"/>
    <w:rsid w:val="3B675D5A"/>
    <w:rsid w:val="3B685096"/>
    <w:rsid w:val="3B696C0B"/>
    <w:rsid w:val="3B6A63FF"/>
    <w:rsid w:val="3B6C131C"/>
    <w:rsid w:val="3B6E0E96"/>
    <w:rsid w:val="3B7038EC"/>
    <w:rsid w:val="3B714529"/>
    <w:rsid w:val="3B7519EE"/>
    <w:rsid w:val="3B765F9D"/>
    <w:rsid w:val="3B781D15"/>
    <w:rsid w:val="3B790368"/>
    <w:rsid w:val="3B7C31FF"/>
    <w:rsid w:val="3B7C35D0"/>
    <w:rsid w:val="3B7D732B"/>
    <w:rsid w:val="3B7F12F6"/>
    <w:rsid w:val="3B7F4E52"/>
    <w:rsid w:val="3B7F7488"/>
    <w:rsid w:val="3B8029A4"/>
    <w:rsid w:val="3B862684"/>
    <w:rsid w:val="3B883955"/>
    <w:rsid w:val="3B893F22"/>
    <w:rsid w:val="3B894862"/>
    <w:rsid w:val="3B8B7C9A"/>
    <w:rsid w:val="3B8E1539"/>
    <w:rsid w:val="3B914349"/>
    <w:rsid w:val="3B9603ED"/>
    <w:rsid w:val="3B96703F"/>
    <w:rsid w:val="3B9F3746"/>
    <w:rsid w:val="3BA0301A"/>
    <w:rsid w:val="3BA04B45"/>
    <w:rsid w:val="3BAC569C"/>
    <w:rsid w:val="3BAE610A"/>
    <w:rsid w:val="3BB014AF"/>
    <w:rsid w:val="3BB27A59"/>
    <w:rsid w:val="3BB440AF"/>
    <w:rsid w:val="3BB471CB"/>
    <w:rsid w:val="3BB56AC5"/>
    <w:rsid w:val="3BB75781"/>
    <w:rsid w:val="3BBA232E"/>
    <w:rsid w:val="3BBB107E"/>
    <w:rsid w:val="3BBC45D2"/>
    <w:rsid w:val="3BBC7FC8"/>
    <w:rsid w:val="3BBF322E"/>
    <w:rsid w:val="3BC1012D"/>
    <w:rsid w:val="3BC1274D"/>
    <w:rsid w:val="3BC704AB"/>
    <w:rsid w:val="3BC83A95"/>
    <w:rsid w:val="3BCB62E9"/>
    <w:rsid w:val="3BCF1429"/>
    <w:rsid w:val="3BCF1ED1"/>
    <w:rsid w:val="3BCF662E"/>
    <w:rsid w:val="3BCF6ED8"/>
    <w:rsid w:val="3BCF7B54"/>
    <w:rsid w:val="3BD056AD"/>
    <w:rsid w:val="3BD16FE7"/>
    <w:rsid w:val="3BD34656"/>
    <w:rsid w:val="3BD505DF"/>
    <w:rsid w:val="3BD635CC"/>
    <w:rsid w:val="3BD66FE4"/>
    <w:rsid w:val="3BDA477E"/>
    <w:rsid w:val="3BDC22A4"/>
    <w:rsid w:val="3BE0083E"/>
    <w:rsid w:val="3BE13D5E"/>
    <w:rsid w:val="3BE15B0C"/>
    <w:rsid w:val="3BE164EA"/>
    <w:rsid w:val="3BE42C82"/>
    <w:rsid w:val="3BE473AB"/>
    <w:rsid w:val="3BE55ED4"/>
    <w:rsid w:val="3BEA2B53"/>
    <w:rsid w:val="3BEE647B"/>
    <w:rsid w:val="3BF2188D"/>
    <w:rsid w:val="3BF41D6B"/>
    <w:rsid w:val="3BF73688"/>
    <w:rsid w:val="3BF770DE"/>
    <w:rsid w:val="3BFA0143"/>
    <w:rsid w:val="3BFB065A"/>
    <w:rsid w:val="3BFC64A2"/>
    <w:rsid w:val="3BFF127B"/>
    <w:rsid w:val="3C015C04"/>
    <w:rsid w:val="3C022B56"/>
    <w:rsid w:val="3C046C7B"/>
    <w:rsid w:val="3C08753D"/>
    <w:rsid w:val="3C0A3B86"/>
    <w:rsid w:val="3C0B1186"/>
    <w:rsid w:val="3C0C1D68"/>
    <w:rsid w:val="3C0C42A7"/>
    <w:rsid w:val="3C0D630A"/>
    <w:rsid w:val="3C1141F8"/>
    <w:rsid w:val="3C11517C"/>
    <w:rsid w:val="3C12495E"/>
    <w:rsid w:val="3C137C90"/>
    <w:rsid w:val="3C151E49"/>
    <w:rsid w:val="3C153A08"/>
    <w:rsid w:val="3C16166D"/>
    <w:rsid w:val="3C177780"/>
    <w:rsid w:val="3C1C48FD"/>
    <w:rsid w:val="3C1C4D96"/>
    <w:rsid w:val="3C1C6B44"/>
    <w:rsid w:val="3C1D7AFD"/>
    <w:rsid w:val="3C1E7578"/>
    <w:rsid w:val="3C2222D4"/>
    <w:rsid w:val="3C242F5E"/>
    <w:rsid w:val="3C256A70"/>
    <w:rsid w:val="3C260B80"/>
    <w:rsid w:val="3C277297"/>
    <w:rsid w:val="3C2B3214"/>
    <w:rsid w:val="3C2D2B00"/>
    <w:rsid w:val="3C2D6FA3"/>
    <w:rsid w:val="3C305DE5"/>
    <w:rsid w:val="3C326368"/>
    <w:rsid w:val="3C371BD0"/>
    <w:rsid w:val="3C39352C"/>
    <w:rsid w:val="3C3C2D43"/>
    <w:rsid w:val="3C3C71E7"/>
    <w:rsid w:val="3C3D5C18"/>
    <w:rsid w:val="3C417415"/>
    <w:rsid w:val="3C447E49"/>
    <w:rsid w:val="3C461E13"/>
    <w:rsid w:val="3C4716C0"/>
    <w:rsid w:val="3C4816E7"/>
    <w:rsid w:val="3C495460"/>
    <w:rsid w:val="3C4B267E"/>
    <w:rsid w:val="3C4D31A2"/>
    <w:rsid w:val="3C4E0CC8"/>
    <w:rsid w:val="3C504ABE"/>
    <w:rsid w:val="3C53008C"/>
    <w:rsid w:val="3C5371BB"/>
    <w:rsid w:val="3C577B7C"/>
    <w:rsid w:val="3C597D99"/>
    <w:rsid w:val="3C5D2D0E"/>
    <w:rsid w:val="3C6069BA"/>
    <w:rsid w:val="3C6306FC"/>
    <w:rsid w:val="3C636521"/>
    <w:rsid w:val="3C642299"/>
    <w:rsid w:val="3C6504EB"/>
    <w:rsid w:val="3C6510F2"/>
    <w:rsid w:val="3C65673D"/>
    <w:rsid w:val="3C664263"/>
    <w:rsid w:val="3C667DC0"/>
    <w:rsid w:val="3C6A5B02"/>
    <w:rsid w:val="3C6A784A"/>
    <w:rsid w:val="3C6C4341"/>
    <w:rsid w:val="3C6C60D1"/>
    <w:rsid w:val="3C705267"/>
    <w:rsid w:val="3C720E5A"/>
    <w:rsid w:val="3C7219DB"/>
    <w:rsid w:val="3C723741"/>
    <w:rsid w:val="3C72616A"/>
    <w:rsid w:val="3C756255"/>
    <w:rsid w:val="3C771899"/>
    <w:rsid w:val="3C7A1896"/>
    <w:rsid w:val="3C7C75E3"/>
    <w:rsid w:val="3C7E335B"/>
    <w:rsid w:val="3C81600E"/>
    <w:rsid w:val="3C827A15"/>
    <w:rsid w:val="3C85293C"/>
    <w:rsid w:val="3C8537A5"/>
    <w:rsid w:val="3C88781A"/>
    <w:rsid w:val="3C8952DB"/>
    <w:rsid w:val="3C8A7F52"/>
    <w:rsid w:val="3C8D125D"/>
    <w:rsid w:val="3C8F7316"/>
    <w:rsid w:val="3C915024"/>
    <w:rsid w:val="3C966DD9"/>
    <w:rsid w:val="3C97441D"/>
    <w:rsid w:val="3C9C1A33"/>
    <w:rsid w:val="3C9C5ED7"/>
    <w:rsid w:val="3C9D753C"/>
    <w:rsid w:val="3C9E05C3"/>
    <w:rsid w:val="3C9F1435"/>
    <w:rsid w:val="3C9F21DE"/>
    <w:rsid w:val="3CA102DD"/>
    <w:rsid w:val="3CA1704A"/>
    <w:rsid w:val="3CA37266"/>
    <w:rsid w:val="3CA557ED"/>
    <w:rsid w:val="3CA57A27"/>
    <w:rsid w:val="3CA60B04"/>
    <w:rsid w:val="3CA63E9B"/>
    <w:rsid w:val="3CA8487C"/>
    <w:rsid w:val="3CA87866"/>
    <w:rsid w:val="3CAA3E79"/>
    <w:rsid w:val="3CB21257"/>
    <w:rsid w:val="3CB5751C"/>
    <w:rsid w:val="3CBC084E"/>
    <w:rsid w:val="3CBD0327"/>
    <w:rsid w:val="3CBE6E44"/>
    <w:rsid w:val="3CC01BC6"/>
    <w:rsid w:val="3CC50F8A"/>
    <w:rsid w:val="3CC571DC"/>
    <w:rsid w:val="3CC75022"/>
    <w:rsid w:val="3CC80AE9"/>
    <w:rsid w:val="3CC92012"/>
    <w:rsid w:val="3CCC4F3E"/>
    <w:rsid w:val="3CCD1F95"/>
    <w:rsid w:val="3CCD7E3F"/>
    <w:rsid w:val="3CD0567A"/>
    <w:rsid w:val="3CD1792F"/>
    <w:rsid w:val="3CD613E9"/>
    <w:rsid w:val="3CD72A6B"/>
    <w:rsid w:val="3CD73424"/>
    <w:rsid w:val="3CD86281"/>
    <w:rsid w:val="3CD93791"/>
    <w:rsid w:val="3CDA0843"/>
    <w:rsid w:val="3CEB14B0"/>
    <w:rsid w:val="3CEB6517"/>
    <w:rsid w:val="3CEE7746"/>
    <w:rsid w:val="3CF40CB4"/>
    <w:rsid w:val="3CF7267E"/>
    <w:rsid w:val="3CF87005"/>
    <w:rsid w:val="3CF87ADE"/>
    <w:rsid w:val="3CF90C34"/>
    <w:rsid w:val="3CF949E6"/>
    <w:rsid w:val="3CFB0E50"/>
    <w:rsid w:val="3CFC3344"/>
    <w:rsid w:val="3CFC533E"/>
    <w:rsid w:val="3D046F29"/>
    <w:rsid w:val="3D072D57"/>
    <w:rsid w:val="3D072FA4"/>
    <w:rsid w:val="3D083CEC"/>
    <w:rsid w:val="3D083D9A"/>
    <w:rsid w:val="3D09356D"/>
    <w:rsid w:val="3D0A74FC"/>
    <w:rsid w:val="3D0E527D"/>
    <w:rsid w:val="3D0F0457"/>
    <w:rsid w:val="3D145363"/>
    <w:rsid w:val="3D186480"/>
    <w:rsid w:val="3D1A51DB"/>
    <w:rsid w:val="3D1B6DFC"/>
    <w:rsid w:val="3D203EBC"/>
    <w:rsid w:val="3D215353"/>
    <w:rsid w:val="3D23387A"/>
    <w:rsid w:val="3D290AE4"/>
    <w:rsid w:val="3D2947EC"/>
    <w:rsid w:val="3D2C1009"/>
    <w:rsid w:val="3D2E1BD5"/>
    <w:rsid w:val="3D2F0AF9"/>
    <w:rsid w:val="3D2F1989"/>
    <w:rsid w:val="3D306D3E"/>
    <w:rsid w:val="3D310D60"/>
    <w:rsid w:val="3D361E88"/>
    <w:rsid w:val="3D3808EA"/>
    <w:rsid w:val="3D385C00"/>
    <w:rsid w:val="3D3954D4"/>
    <w:rsid w:val="3D3A4C02"/>
    <w:rsid w:val="3D3C7537"/>
    <w:rsid w:val="3D426821"/>
    <w:rsid w:val="3D427F2A"/>
    <w:rsid w:val="3D436156"/>
    <w:rsid w:val="3D4605FB"/>
    <w:rsid w:val="3D4900F3"/>
    <w:rsid w:val="3D491BBB"/>
    <w:rsid w:val="3D4A097A"/>
    <w:rsid w:val="3D4A148F"/>
    <w:rsid w:val="3D4A53CE"/>
    <w:rsid w:val="3D4D7C00"/>
    <w:rsid w:val="3D5477AA"/>
    <w:rsid w:val="3D572809"/>
    <w:rsid w:val="3D5751DB"/>
    <w:rsid w:val="3D5B544A"/>
    <w:rsid w:val="3D5F7E2B"/>
    <w:rsid w:val="3D605C64"/>
    <w:rsid w:val="3D615FAF"/>
    <w:rsid w:val="3D6337C1"/>
    <w:rsid w:val="3D645DB2"/>
    <w:rsid w:val="3D6C7658"/>
    <w:rsid w:val="3D6D4AC5"/>
    <w:rsid w:val="3D705F16"/>
    <w:rsid w:val="3D7220C5"/>
    <w:rsid w:val="3D74650C"/>
    <w:rsid w:val="3D762284"/>
    <w:rsid w:val="3D7B3D3F"/>
    <w:rsid w:val="3D7D3613"/>
    <w:rsid w:val="3D7F55DD"/>
    <w:rsid w:val="3D804EB1"/>
    <w:rsid w:val="3D80621F"/>
    <w:rsid w:val="3D806E0C"/>
    <w:rsid w:val="3D8114D3"/>
    <w:rsid w:val="3D8749A7"/>
    <w:rsid w:val="3D8C2489"/>
    <w:rsid w:val="3D8E75CE"/>
    <w:rsid w:val="3D8F7591"/>
    <w:rsid w:val="3D926470"/>
    <w:rsid w:val="3D934BE4"/>
    <w:rsid w:val="3D956BAE"/>
    <w:rsid w:val="3D973978"/>
    <w:rsid w:val="3D974A4B"/>
    <w:rsid w:val="3D982B19"/>
    <w:rsid w:val="3D9902F3"/>
    <w:rsid w:val="3D9D3CB5"/>
    <w:rsid w:val="3DA04965"/>
    <w:rsid w:val="3DA212CB"/>
    <w:rsid w:val="3DA258B9"/>
    <w:rsid w:val="3DA45043"/>
    <w:rsid w:val="3DAA7458"/>
    <w:rsid w:val="3DAD02A1"/>
    <w:rsid w:val="3DAD75BE"/>
    <w:rsid w:val="3DB007F6"/>
    <w:rsid w:val="3DB173E3"/>
    <w:rsid w:val="3DB20099"/>
    <w:rsid w:val="3DB505BF"/>
    <w:rsid w:val="3DB73559"/>
    <w:rsid w:val="3DBA0EE7"/>
    <w:rsid w:val="3DBD7EB3"/>
    <w:rsid w:val="3DBF59D9"/>
    <w:rsid w:val="3DBF661A"/>
    <w:rsid w:val="3DC13DDB"/>
    <w:rsid w:val="3DC14E99"/>
    <w:rsid w:val="3DC47494"/>
    <w:rsid w:val="3DC72AE0"/>
    <w:rsid w:val="3DC965D2"/>
    <w:rsid w:val="3DCC2A5B"/>
    <w:rsid w:val="3DD1395F"/>
    <w:rsid w:val="3DD271E6"/>
    <w:rsid w:val="3DD30D51"/>
    <w:rsid w:val="3DD376D7"/>
    <w:rsid w:val="3DD516A1"/>
    <w:rsid w:val="3DD576FC"/>
    <w:rsid w:val="3DD7222A"/>
    <w:rsid w:val="3DD82F3F"/>
    <w:rsid w:val="3DDA2813"/>
    <w:rsid w:val="3DDA6CB7"/>
    <w:rsid w:val="3DDC0A56"/>
    <w:rsid w:val="3DDD2303"/>
    <w:rsid w:val="3DE25620"/>
    <w:rsid w:val="3DE412BA"/>
    <w:rsid w:val="3DE7218A"/>
    <w:rsid w:val="3DE94611"/>
    <w:rsid w:val="3DEA51FF"/>
    <w:rsid w:val="3DEA679C"/>
    <w:rsid w:val="3DED7156"/>
    <w:rsid w:val="3DEE2762"/>
    <w:rsid w:val="3DEE74C2"/>
    <w:rsid w:val="3DF722B4"/>
    <w:rsid w:val="3DF77BF3"/>
    <w:rsid w:val="3DF8413C"/>
    <w:rsid w:val="3DFB0571"/>
    <w:rsid w:val="3DFB6DE7"/>
    <w:rsid w:val="3DFC396A"/>
    <w:rsid w:val="3DFF04CC"/>
    <w:rsid w:val="3E03620E"/>
    <w:rsid w:val="3E047890"/>
    <w:rsid w:val="3E0855F6"/>
    <w:rsid w:val="3E0C4997"/>
    <w:rsid w:val="3E0C6740"/>
    <w:rsid w:val="3E117081"/>
    <w:rsid w:val="3E1273BA"/>
    <w:rsid w:val="3E172FDA"/>
    <w:rsid w:val="3E173A67"/>
    <w:rsid w:val="3E1D4DF6"/>
    <w:rsid w:val="3E1E266B"/>
    <w:rsid w:val="3E203C72"/>
    <w:rsid w:val="3E2400FA"/>
    <w:rsid w:val="3E2938F6"/>
    <w:rsid w:val="3E2A0839"/>
    <w:rsid w:val="3E2B12C1"/>
    <w:rsid w:val="3E2D75A6"/>
    <w:rsid w:val="3E2E7003"/>
    <w:rsid w:val="3E310E95"/>
    <w:rsid w:val="3E32264F"/>
    <w:rsid w:val="3E3363C7"/>
    <w:rsid w:val="3E361197"/>
    <w:rsid w:val="3E3824EF"/>
    <w:rsid w:val="3E38578C"/>
    <w:rsid w:val="3E387086"/>
    <w:rsid w:val="3E395518"/>
    <w:rsid w:val="3E3F1912"/>
    <w:rsid w:val="3E3F4D6C"/>
    <w:rsid w:val="3E412892"/>
    <w:rsid w:val="3E415BBD"/>
    <w:rsid w:val="3E430738"/>
    <w:rsid w:val="3E444130"/>
    <w:rsid w:val="3E46721D"/>
    <w:rsid w:val="3E4A100D"/>
    <w:rsid w:val="3E4A7ED6"/>
    <w:rsid w:val="3E5242DB"/>
    <w:rsid w:val="3E551DC1"/>
    <w:rsid w:val="3E5A2F25"/>
    <w:rsid w:val="3E5C4532"/>
    <w:rsid w:val="3E612F34"/>
    <w:rsid w:val="3E651E20"/>
    <w:rsid w:val="3E66054B"/>
    <w:rsid w:val="3E6607BB"/>
    <w:rsid w:val="3E6842C3"/>
    <w:rsid w:val="3E6E3F14"/>
    <w:rsid w:val="3E6E52FF"/>
    <w:rsid w:val="3E72445E"/>
    <w:rsid w:val="3E737B74"/>
    <w:rsid w:val="3E781704"/>
    <w:rsid w:val="3E791573"/>
    <w:rsid w:val="3E796D4A"/>
    <w:rsid w:val="3E7A1E01"/>
    <w:rsid w:val="3E7B3006"/>
    <w:rsid w:val="3E7F4364"/>
    <w:rsid w:val="3E854E75"/>
    <w:rsid w:val="3E886713"/>
    <w:rsid w:val="3E8868CF"/>
    <w:rsid w:val="3E8F7AA2"/>
    <w:rsid w:val="3E9055C8"/>
    <w:rsid w:val="3E921D2C"/>
    <w:rsid w:val="3E946E66"/>
    <w:rsid w:val="3E96581D"/>
    <w:rsid w:val="3E9C2FF0"/>
    <w:rsid w:val="3E9E67F4"/>
    <w:rsid w:val="3E9F6B54"/>
    <w:rsid w:val="3EA410AD"/>
    <w:rsid w:val="3EA60115"/>
    <w:rsid w:val="3EA91B9E"/>
    <w:rsid w:val="3EAB0654"/>
    <w:rsid w:val="3EB23790"/>
    <w:rsid w:val="3EB43064"/>
    <w:rsid w:val="3EB672E8"/>
    <w:rsid w:val="3EB72464"/>
    <w:rsid w:val="3EBA7522"/>
    <w:rsid w:val="3EBF0E3A"/>
    <w:rsid w:val="3EC139D3"/>
    <w:rsid w:val="3EC42D9C"/>
    <w:rsid w:val="3EC665A9"/>
    <w:rsid w:val="3ECA0ADA"/>
    <w:rsid w:val="3ECC09CD"/>
    <w:rsid w:val="3ECC7B2A"/>
    <w:rsid w:val="3ECD276E"/>
    <w:rsid w:val="3ECE7322"/>
    <w:rsid w:val="3ECF21CF"/>
    <w:rsid w:val="3ED07F02"/>
    <w:rsid w:val="3ED23E32"/>
    <w:rsid w:val="3ED40C7B"/>
    <w:rsid w:val="3ED43706"/>
    <w:rsid w:val="3ED71449"/>
    <w:rsid w:val="3ED731F7"/>
    <w:rsid w:val="3ED75FA2"/>
    <w:rsid w:val="3ED9740E"/>
    <w:rsid w:val="3EDD3D48"/>
    <w:rsid w:val="3EDE4585"/>
    <w:rsid w:val="3EDE6349"/>
    <w:rsid w:val="3EE02BD6"/>
    <w:rsid w:val="3EE03570"/>
    <w:rsid w:val="3EE0679F"/>
    <w:rsid w:val="3EE2063B"/>
    <w:rsid w:val="3EE5142D"/>
    <w:rsid w:val="3EE97A2C"/>
    <w:rsid w:val="3EE97F93"/>
    <w:rsid w:val="3EEC6CA2"/>
    <w:rsid w:val="3EED2A1A"/>
    <w:rsid w:val="3EED3FA7"/>
    <w:rsid w:val="3EEE38E6"/>
    <w:rsid w:val="3EF142B8"/>
    <w:rsid w:val="3EF21B38"/>
    <w:rsid w:val="3EF21DDE"/>
    <w:rsid w:val="3EF721D5"/>
    <w:rsid w:val="3EF94456"/>
    <w:rsid w:val="3EF94F1B"/>
    <w:rsid w:val="3EFC6744"/>
    <w:rsid w:val="3F012CA2"/>
    <w:rsid w:val="3F0442D9"/>
    <w:rsid w:val="3F0538C0"/>
    <w:rsid w:val="3F073ADC"/>
    <w:rsid w:val="3F0C10F2"/>
    <w:rsid w:val="3F0D1E7E"/>
    <w:rsid w:val="3F0E6460"/>
    <w:rsid w:val="3F122481"/>
    <w:rsid w:val="3F1301C6"/>
    <w:rsid w:val="3F13331F"/>
    <w:rsid w:val="3F1461F9"/>
    <w:rsid w:val="3F165ACD"/>
    <w:rsid w:val="3F171845"/>
    <w:rsid w:val="3F186E13"/>
    <w:rsid w:val="3F1B5A27"/>
    <w:rsid w:val="3F1E0A76"/>
    <w:rsid w:val="3F1E0E25"/>
    <w:rsid w:val="3F1E483C"/>
    <w:rsid w:val="3F214472"/>
    <w:rsid w:val="3F21764F"/>
    <w:rsid w:val="3F242C8E"/>
    <w:rsid w:val="3F245904"/>
    <w:rsid w:val="3F253F62"/>
    <w:rsid w:val="3F275F2C"/>
    <w:rsid w:val="3F2D2E17"/>
    <w:rsid w:val="3F2D5AE3"/>
    <w:rsid w:val="3F2D72BA"/>
    <w:rsid w:val="3F2E2CC4"/>
    <w:rsid w:val="3F3441A5"/>
    <w:rsid w:val="3F354829"/>
    <w:rsid w:val="3F373C95"/>
    <w:rsid w:val="3F3B5533"/>
    <w:rsid w:val="3F3F2E1B"/>
    <w:rsid w:val="3F3F3BB3"/>
    <w:rsid w:val="3F4032C5"/>
    <w:rsid w:val="3F446ADE"/>
    <w:rsid w:val="3F470618"/>
    <w:rsid w:val="3F487C50"/>
    <w:rsid w:val="3F49271F"/>
    <w:rsid w:val="3F493BA2"/>
    <w:rsid w:val="3F4C0AAE"/>
    <w:rsid w:val="3F4D34B9"/>
    <w:rsid w:val="3F512332"/>
    <w:rsid w:val="3F512FA9"/>
    <w:rsid w:val="3F514355"/>
    <w:rsid w:val="3F520ACF"/>
    <w:rsid w:val="3F531FBE"/>
    <w:rsid w:val="3F54194A"/>
    <w:rsid w:val="3F570327"/>
    <w:rsid w:val="3F5709F5"/>
    <w:rsid w:val="3F574CAF"/>
    <w:rsid w:val="3F577E93"/>
    <w:rsid w:val="3F5B4DB4"/>
    <w:rsid w:val="3F5E3874"/>
    <w:rsid w:val="3F604F9A"/>
    <w:rsid w:val="3F643656"/>
    <w:rsid w:val="3F6850F9"/>
    <w:rsid w:val="3F6A5E19"/>
    <w:rsid w:val="3F6C393F"/>
    <w:rsid w:val="3F78561B"/>
    <w:rsid w:val="3F80256C"/>
    <w:rsid w:val="3F81099E"/>
    <w:rsid w:val="3F813095"/>
    <w:rsid w:val="3F814BEC"/>
    <w:rsid w:val="3F824CF3"/>
    <w:rsid w:val="3F82733E"/>
    <w:rsid w:val="3F877201"/>
    <w:rsid w:val="3F8A1390"/>
    <w:rsid w:val="3F916419"/>
    <w:rsid w:val="3F917C3B"/>
    <w:rsid w:val="3F922DCD"/>
    <w:rsid w:val="3F936E81"/>
    <w:rsid w:val="3F9454C2"/>
    <w:rsid w:val="3F9536F2"/>
    <w:rsid w:val="3F980BD8"/>
    <w:rsid w:val="3F9904AC"/>
    <w:rsid w:val="3FA23805"/>
    <w:rsid w:val="3FA94B93"/>
    <w:rsid w:val="3FAA26B9"/>
    <w:rsid w:val="3FAC4683"/>
    <w:rsid w:val="3FAE4864"/>
    <w:rsid w:val="3FB672B0"/>
    <w:rsid w:val="3FBA3CFB"/>
    <w:rsid w:val="3FBA6DA0"/>
    <w:rsid w:val="3FBB48C6"/>
    <w:rsid w:val="3FBC48A0"/>
    <w:rsid w:val="3FBD77A1"/>
    <w:rsid w:val="3FBE7F13"/>
    <w:rsid w:val="3FBF11DC"/>
    <w:rsid w:val="3FC03C8B"/>
    <w:rsid w:val="3FC2057E"/>
    <w:rsid w:val="3FC217B1"/>
    <w:rsid w:val="3FC51BF5"/>
    <w:rsid w:val="3FC732DC"/>
    <w:rsid w:val="3FC84250"/>
    <w:rsid w:val="3FCB032F"/>
    <w:rsid w:val="3FCE23C0"/>
    <w:rsid w:val="3FCE3E52"/>
    <w:rsid w:val="3FCE4449"/>
    <w:rsid w:val="3FD00372"/>
    <w:rsid w:val="3FD140EA"/>
    <w:rsid w:val="3FD35E75"/>
    <w:rsid w:val="3FD67DF1"/>
    <w:rsid w:val="3FDF536F"/>
    <w:rsid w:val="3FE02C52"/>
    <w:rsid w:val="3FE07E89"/>
    <w:rsid w:val="3FE23C01"/>
    <w:rsid w:val="3FE454C2"/>
    <w:rsid w:val="3FE7482C"/>
    <w:rsid w:val="3FE9194F"/>
    <w:rsid w:val="3FE931E1"/>
    <w:rsid w:val="3FE94F8F"/>
    <w:rsid w:val="3FEC6F04"/>
    <w:rsid w:val="3FEE25A6"/>
    <w:rsid w:val="3FEE5BC0"/>
    <w:rsid w:val="3FF11EBC"/>
    <w:rsid w:val="3FF42435"/>
    <w:rsid w:val="3FF451AE"/>
    <w:rsid w:val="3FF658FE"/>
    <w:rsid w:val="3FF7269F"/>
    <w:rsid w:val="3FF937BF"/>
    <w:rsid w:val="4001677D"/>
    <w:rsid w:val="400224F5"/>
    <w:rsid w:val="4005436F"/>
    <w:rsid w:val="40055B41"/>
    <w:rsid w:val="40065EC9"/>
    <w:rsid w:val="400973E0"/>
    <w:rsid w:val="400B75FC"/>
    <w:rsid w:val="400C5122"/>
    <w:rsid w:val="4011579F"/>
    <w:rsid w:val="40150942"/>
    <w:rsid w:val="401549E0"/>
    <w:rsid w:val="40157958"/>
    <w:rsid w:val="40182DEF"/>
    <w:rsid w:val="40183AC7"/>
    <w:rsid w:val="401A0CFC"/>
    <w:rsid w:val="401A3A34"/>
    <w:rsid w:val="401C1B7E"/>
    <w:rsid w:val="401D1AC7"/>
    <w:rsid w:val="4023173E"/>
    <w:rsid w:val="40236633"/>
    <w:rsid w:val="40275AB8"/>
    <w:rsid w:val="402C1320"/>
    <w:rsid w:val="402F136A"/>
    <w:rsid w:val="40335D26"/>
    <w:rsid w:val="40346909"/>
    <w:rsid w:val="40353685"/>
    <w:rsid w:val="40354679"/>
    <w:rsid w:val="403703F1"/>
    <w:rsid w:val="40385F17"/>
    <w:rsid w:val="403A0217"/>
    <w:rsid w:val="403C0735"/>
    <w:rsid w:val="403D31FE"/>
    <w:rsid w:val="403D762B"/>
    <w:rsid w:val="403F1053"/>
    <w:rsid w:val="404226F4"/>
    <w:rsid w:val="4043475F"/>
    <w:rsid w:val="40465464"/>
    <w:rsid w:val="40490124"/>
    <w:rsid w:val="404C3770"/>
    <w:rsid w:val="404E1296"/>
    <w:rsid w:val="40513DB8"/>
    <w:rsid w:val="40560E08"/>
    <w:rsid w:val="40596D74"/>
    <w:rsid w:val="405A309A"/>
    <w:rsid w:val="405D4357"/>
    <w:rsid w:val="40605047"/>
    <w:rsid w:val="4061546E"/>
    <w:rsid w:val="4067275B"/>
    <w:rsid w:val="406805AA"/>
    <w:rsid w:val="40692574"/>
    <w:rsid w:val="406C7A85"/>
    <w:rsid w:val="406D3B57"/>
    <w:rsid w:val="406D6DCA"/>
    <w:rsid w:val="406E3006"/>
    <w:rsid w:val="406F099D"/>
    <w:rsid w:val="40717548"/>
    <w:rsid w:val="407526A4"/>
    <w:rsid w:val="40770257"/>
    <w:rsid w:val="407A02DD"/>
    <w:rsid w:val="407A1725"/>
    <w:rsid w:val="407B311A"/>
    <w:rsid w:val="407F4DC4"/>
    <w:rsid w:val="407F5F47"/>
    <w:rsid w:val="4081166C"/>
    <w:rsid w:val="4083199D"/>
    <w:rsid w:val="408353E4"/>
    <w:rsid w:val="40842F0A"/>
    <w:rsid w:val="408A3637"/>
    <w:rsid w:val="408B4299"/>
    <w:rsid w:val="40905D53"/>
    <w:rsid w:val="409273D5"/>
    <w:rsid w:val="40954A6A"/>
    <w:rsid w:val="40972C3D"/>
    <w:rsid w:val="40980764"/>
    <w:rsid w:val="409B432B"/>
    <w:rsid w:val="409B474C"/>
    <w:rsid w:val="409B585E"/>
    <w:rsid w:val="409E221E"/>
    <w:rsid w:val="40A11D0E"/>
    <w:rsid w:val="40A1586A"/>
    <w:rsid w:val="40A30D69"/>
    <w:rsid w:val="40A435AC"/>
    <w:rsid w:val="40A4436F"/>
    <w:rsid w:val="40A45A04"/>
    <w:rsid w:val="40A47108"/>
    <w:rsid w:val="40A66E1B"/>
    <w:rsid w:val="40A70092"/>
    <w:rsid w:val="40A84E4B"/>
    <w:rsid w:val="40A86BF9"/>
    <w:rsid w:val="40AD06B3"/>
    <w:rsid w:val="40AD2461"/>
    <w:rsid w:val="40AD5EA0"/>
    <w:rsid w:val="40AF442B"/>
    <w:rsid w:val="40B17558"/>
    <w:rsid w:val="40B22313"/>
    <w:rsid w:val="40B27C34"/>
    <w:rsid w:val="40B90683"/>
    <w:rsid w:val="40B97058"/>
    <w:rsid w:val="40B976F7"/>
    <w:rsid w:val="40BC26A4"/>
    <w:rsid w:val="40BE1D4A"/>
    <w:rsid w:val="40BE466E"/>
    <w:rsid w:val="40BE641C"/>
    <w:rsid w:val="40BF6BFA"/>
    <w:rsid w:val="40C3017C"/>
    <w:rsid w:val="40C3125C"/>
    <w:rsid w:val="40C33A32"/>
    <w:rsid w:val="40C565F9"/>
    <w:rsid w:val="40C570C0"/>
    <w:rsid w:val="40C723B6"/>
    <w:rsid w:val="40C74F80"/>
    <w:rsid w:val="40C90F18"/>
    <w:rsid w:val="40CD12AF"/>
    <w:rsid w:val="40CD4B73"/>
    <w:rsid w:val="40CE332A"/>
    <w:rsid w:val="40CF0629"/>
    <w:rsid w:val="40D07EFD"/>
    <w:rsid w:val="40D20AED"/>
    <w:rsid w:val="40D369A7"/>
    <w:rsid w:val="40D54270"/>
    <w:rsid w:val="40D77300"/>
    <w:rsid w:val="40D84160"/>
    <w:rsid w:val="40D93256"/>
    <w:rsid w:val="40DB3A73"/>
    <w:rsid w:val="40DF4951"/>
    <w:rsid w:val="40E02836"/>
    <w:rsid w:val="40E045E4"/>
    <w:rsid w:val="40E0575B"/>
    <w:rsid w:val="40E166BA"/>
    <w:rsid w:val="40E209F5"/>
    <w:rsid w:val="40E35E83"/>
    <w:rsid w:val="40E6743A"/>
    <w:rsid w:val="40E770B0"/>
    <w:rsid w:val="40EB2F89"/>
    <w:rsid w:val="40EB38B5"/>
    <w:rsid w:val="40EC0DC7"/>
    <w:rsid w:val="40ED0AAF"/>
    <w:rsid w:val="40EF4E67"/>
    <w:rsid w:val="40F167F2"/>
    <w:rsid w:val="40F175FE"/>
    <w:rsid w:val="40F260C6"/>
    <w:rsid w:val="40F40C4B"/>
    <w:rsid w:val="40F54107"/>
    <w:rsid w:val="40F55BB6"/>
    <w:rsid w:val="40FA31CC"/>
    <w:rsid w:val="40FD7642"/>
    <w:rsid w:val="40FE1C09"/>
    <w:rsid w:val="410302D3"/>
    <w:rsid w:val="410448B4"/>
    <w:rsid w:val="41067DC3"/>
    <w:rsid w:val="41072D8E"/>
    <w:rsid w:val="41084796"/>
    <w:rsid w:val="410A340F"/>
    <w:rsid w:val="410B37C3"/>
    <w:rsid w:val="410C362B"/>
    <w:rsid w:val="410D3A8C"/>
    <w:rsid w:val="410F389A"/>
    <w:rsid w:val="4111484F"/>
    <w:rsid w:val="41143C51"/>
    <w:rsid w:val="41166258"/>
    <w:rsid w:val="411C1395"/>
    <w:rsid w:val="411E6DBF"/>
    <w:rsid w:val="411F36EC"/>
    <w:rsid w:val="41210AE9"/>
    <w:rsid w:val="41230EF6"/>
    <w:rsid w:val="41232723"/>
    <w:rsid w:val="4124305A"/>
    <w:rsid w:val="412A57D5"/>
    <w:rsid w:val="412A6848"/>
    <w:rsid w:val="412C7692"/>
    <w:rsid w:val="412D3010"/>
    <w:rsid w:val="41314E40"/>
    <w:rsid w:val="41322966"/>
    <w:rsid w:val="413606A8"/>
    <w:rsid w:val="41360F22"/>
    <w:rsid w:val="41361759"/>
    <w:rsid w:val="41377F7D"/>
    <w:rsid w:val="41384420"/>
    <w:rsid w:val="41390199"/>
    <w:rsid w:val="41395AA3"/>
    <w:rsid w:val="413C2EA6"/>
    <w:rsid w:val="413C7C17"/>
    <w:rsid w:val="414032D5"/>
    <w:rsid w:val="41406116"/>
    <w:rsid w:val="41474664"/>
    <w:rsid w:val="414803DC"/>
    <w:rsid w:val="414937EA"/>
    <w:rsid w:val="414C149E"/>
    <w:rsid w:val="414D3D39"/>
    <w:rsid w:val="414D6817"/>
    <w:rsid w:val="414F7ABD"/>
    <w:rsid w:val="415102E2"/>
    <w:rsid w:val="415428DD"/>
    <w:rsid w:val="41546164"/>
    <w:rsid w:val="41553750"/>
    <w:rsid w:val="415B010F"/>
    <w:rsid w:val="415E7BFF"/>
    <w:rsid w:val="416845DA"/>
    <w:rsid w:val="416C17A1"/>
    <w:rsid w:val="416C231C"/>
    <w:rsid w:val="416F1136"/>
    <w:rsid w:val="41721B7C"/>
    <w:rsid w:val="41723BB2"/>
    <w:rsid w:val="41735459"/>
    <w:rsid w:val="41764F49"/>
    <w:rsid w:val="41766DB2"/>
    <w:rsid w:val="4177481D"/>
    <w:rsid w:val="41782981"/>
    <w:rsid w:val="41790244"/>
    <w:rsid w:val="417A3C59"/>
    <w:rsid w:val="417C4E2E"/>
    <w:rsid w:val="417D0085"/>
    <w:rsid w:val="417F275F"/>
    <w:rsid w:val="41870F04"/>
    <w:rsid w:val="41876524"/>
    <w:rsid w:val="418851ED"/>
    <w:rsid w:val="41886A2A"/>
    <w:rsid w:val="4190420C"/>
    <w:rsid w:val="41913B31"/>
    <w:rsid w:val="41922A78"/>
    <w:rsid w:val="419353CB"/>
    <w:rsid w:val="419453CF"/>
    <w:rsid w:val="41945DFD"/>
    <w:rsid w:val="41994793"/>
    <w:rsid w:val="419A23DC"/>
    <w:rsid w:val="419B49AF"/>
    <w:rsid w:val="419D24D5"/>
    <w:rsid w:val="419D78FB"/>
    <w:rsid w:val="41A06E8B"/>
    <w:rsid w:val="41A165D1"/>
    <w:rsid w:val="41A3665C"/>
    <w:rsid w:val="41A90E7A"/>
    <w:rsid w:val="41AC7260"/>
    <w:rsid w:val="41AE0A2A"/>
    <w:rsid w:val="41AE6491"/>
    <w:rsid w:val="41AF6CFB"/>
    <w:rsid w:val="41B42676"/>
    <w:rsid w:val="41B62345"/>
    <w:rsid w:val="41B81572"/>
    <w:rsid w:val="41BB2D74"/>
    <w:rsid w:val="41BB3B2C"/>
    <w:rsid w:val="41BD4926"/>
    <w:rsid w:val="41BE2638"/>
    <w:rsid w:val="41C158AC"/>
    <w:rsid w:val="41CE268F"/>
    <w:rsid w:val="41CF4C1C"/>
    <w:rsid w:val="41D2189E"/>
    <w:rsid w:val="41D43A1D"/>
    <w:rsid w:val="41DD1665"/>
    <w:rsid w:val="41DD3107"/>
    <w:rsid w:val="41E16589"/>
    <w:rsid w:val="41E225DE"/>
    <w:rsid w:val="41E40CAC"/>
    <w:rsid w:val="41E643ED"/>
    <w:rsid w:val="41E727D8"/>
    <w:rsid w:val="41EA1493"/>
    <w:rsid w:val="41EA3513"/>
    <w:rsid w:val="41EC520B"/>
    <w:rsid w:val="41ED2F94"/>
    <w:rsid w:val="41ED511F"/>
    <w:rsid w:val="41EF2363"/>
    <w:rsid w:val="41F153AF"/>
    <w:rsid w:val="41F45E6E"/>
    <w:rsid w:val="41F52311"/>
    <w:rsid w:val="41F55F03"/>
    <w:rsid w:val="41F8770C"/>
    <w:rsid w:val="41FC3707"/>
    <w:rsid w:val="41FE03CB"/>
    <w:rsid w:val="41FF35F6"/>
    <w:rsid w:val="41FF6CEC"/>
    <w:rsid w:val="420200D7"/>
    <w:rsid w:val="420261D9"/>
    <w:rsid w:val="420548DA"/>
    <w:rsid w:val="42091DA3"/>
    <w:rsid w:val="420936C7"/>
    <w:rsid w:val="420D0B8B"/>
    <w:rsid w:val="420E6F2F"/>
    <w:rsid w:val="420F4A55"/>
    <w:rsid w:val="42126A26"/>
    <w:rsid w:val="4214206C"/>
    <w:rsid w:val="42156510"/>
    <w:rsid w:val="421A2E5E"/>
    <w:rsid w:val="421A5C12"/>
    <w:rsid w:val="421F113C"/>
    <w:rsid w:val="421F2EEA"/>
    <w:rsid w:val="42232D11"/>
    <w:rsid w:val="42240501"/>
    <w:rsid w:val="422423A4"/>
    <w:rsid w:val="422458B3"/>
    <w:rsid w:val="42295084"/>
    <w:rsid w:val="422B49F1"/>
    <w:rsid w:val="422C5A23"/>
    <w:rsid w:val="422E312E"/>
    <w:rsid w:val="423050F8"/>
    <w:rsid w:val="42360234"/>
    <w:rsid w:val="423A57B9"/>
    <w:rsid w:val="423C608F"/>
    <w:rsid w:val="423D7815"/>
    <w:rsid w:val="424010B3"/>
    <w:rsid w:val="42442CFA"/>
    <w:rsid w:val="424741EF"/>
    <w:rsid w:val="424761FA"/>
    <w:rsid w:val="424A6456"/>
    <w:rsid w:val="424C5CAA"/>
    <w:rsid w:val="424C7A58"/>
    <w:rsid w:val="42510CC2"/>
    <w:rsid w:val="42512A40"/>
    <w:rsid w:val="42521926"/>
    <w:rsid w:val="42530DE6"/>
    <w:rsid w:val="42591BAD"/>
    <w:rsid w:val="425C5EED"/>
    <w:rsid w:val="425D385C"/>
    <w:rsid w:val="425D3A13"/>
    <w:rsid w:val="42644DA1"/>
    <w:rsid w:val="42674504"/>
    <w:rsid w:val="426A017A"/>
    <w:rsid w:val="426A4F06"/>
    <w:rsid w:val="426B66DA"/>
    <w:rsid w:val="426D7AF4"/>
    <w:rsid w:val="426E5C20"/>
    <w:rsid w:val="42704A8B"/>
    <w:rsid w:val="42725710"/>
    <w:rsid w:val="42770116"/>
    <w:rsid w:val="427A76F5"/>
    <w:rsid w:val="427B0293"/>
    <w:rsid w:val="427B20EB"/>
    <w:rsid w:val="427F793F"/>
    <w:rsid w:val="427F7E2D"/>
    <w:rsid w:val="4281754D"/>
    <w:rsid w:val="42831A42"/>
    <w:rsid w:val="428368BE"/>
    <w:rsid w:val="42843186"/>
    <w:rsid w:val="42875D82"/>
    <w:rsid w:val="42886CA0"/>
    <w:rsid w:val="42890CAC"/>
    <w:rsid w:val="428A248F"/>
    <w:rsid w:val="428C09BA"/>
    <w:rsid w:val="428C60A6"/>
    <w:rsid w:val="428F67B5"/>
    <w:rsid w:val="42903DE8"/>
    <w:rsid w:val="42935686"/>
    <w:rsid w:val="42957651"/>
    <w:rsid w:val="429C06E0"/>
    <w:rsid w:val="42A10A64"/>
    <w:rsid w:val="42A11A4B"/>
    <w:rsid w:val="42A11BBC"/>
    <w:rsid w:val="42A15FF5"/>
    <w:rsid w:val="42A16487"/>
    <w:rsid w:val="42A33B1C"/>
    <w:rsid w:val="42A52E4C"/>
    <w:rsid w:val="42A6360C"/>
    <w:rsid w:val="42A653BA"/>
    <w:rsid w:val="42A6645E"/>
    <w:rsid w:val="42A87384"/>
    <w:rsid w:val="42AD31D7"/>
    <w:rsid w:val="42AD499A"/>
    <w:rsid w:val="42AE07E6"/>
    <w:rsid w:val="42AE64DA"/>
    <w:rsid w:val="42B4158D"/>
    <w:rsid w:val="42B8353C"/>
    <w:rsid w:val="42C23AD9"/>
    <w:rsid w:val="42C35C1A"/>
    <w:rsid w:val="42C52FD7"/>
    <w:rsid w:val="42C77D06"/>
    <w:rsid w:val="42C80EBD"/>
    <w:rsid w:val="42C8255F"/>
    <w:rsid w:val="42CC2C9E"/>
    <w:rsid w:val="42D20ABE"/>
    <w:rsid w:val="42D27505"/>
    <w:rsid w:val="42D31F27"/>
    <w:rsid w:val="42D46D65"/>
    <w:rsid w:val="42D52B30"/>
    <w:rsid w:val="42D575DF"/>
    <w:rsid w:val="42D57A4D"/>
    <w:rsid w:val="42D71A17"/>
    <w:rsid w:val="42D91F63"/>
    <w:rsid w:val="42DC702D"/>
    <w:rsid w:val="42DE4B54"/>
    <w:rsid w:val="42DF267A"/>
    <w:rsid w:val="42DF4C22"/>
    <w:rsid w:val="42E163F2"/>
    <w:rsid w:val="42E27623"/>
    <w:rsid w:val="42E30162"/>
    <w:rsid w:val="42E44134"/>
    <w:rsid w:val="42E5435D"/>
    <w:rsid w:val="42E632F0"/>
    <w:rsid w:val="42E82FF3"/>
    <w:rsid w:val="42EA174A"/>
    <w:rsid w:val="42EB7271"/>
    <w:rsid w:val="42EC69B7"/>
    <w:rsid w:val="42EC78A7"/>
    <w:rsid w:val="42EE3C38"/>
    <w:rsid w:val="42F271C8"/>
    <w:rsid w:val="42F278A9"/>
    <w:rsid w:val="42FA0961"/>
    <w:rsid w:val="42FF4ACA"/>
    <w:rsid w:val="430357DD"/>
    <w:rsid w:val="43050A73"/>
    <w:rsid w:val="43060905"/>
    <w:rsid w:val="43065E58"/>
    <w:rsid w:val="43083A19"/>
    <w:rsid w:val="430A715E"/>
    <w:rsid w:val="430B0801"/>
    <w:rsid w:val="430C0622"/>
    <w:rsid w:val="430D27BF"/>
    <w:rsid w:val="43135248"/>
    <w:rsid w:val="43136659"/>
    <w:rsid w:val="431762B8"/>
    <w:rsid w:val="43187B76"/>
    <w:rsid w:val="431A1904"/>
    <w:rsid w:val="431F37EA"/>
    <w:rsid w:val="43215475"/>
    <w:rsid w:val="43221C7A"/>
    <w:rsid w:val="4326474D"/>
    <w:rsid w:val="432701AF"/>
    <w:rsid w:val="43273AA0"/>
    <w:rsid w:val="432974D5"/>
    <w:rsid w:val="432B0B6E"/>
    <w:rsid w:val="432D201D"/>
    <w:rsid w:val="4332600A"/>
    <w:rsid w:val="43343D20"/>
    <w:rsid w:val="43356A68"/>
    <w:rsid w:val="43374264"/>
    <w:rsid w:val="4339431B"/>
    <w:rsid w:val="433C2FFA"/>
    <w:rsid w:val="433C3EE5"/>
    <w:rsid w:val="433C5D1E"/>
    <w:rsid w:val="433C6E3E"/>
    <w:rsid w:val="433E3844"/>
    <w:rsid w:val="433E55F2"/>
    <w:rsid w:val="434056E1"/>
    <w:rsid w:val="4341380A"/>
    <w:rsid w:val="4345460A"/>
    <w:rsid w:val="43465078"/>
    <w:rsid w:val="43474FDC"/>
    <w:rsid w:val="43475E01"/>
    <w:rsid w:val="43476B9D"/>
    <w:rsid w:val="43486471"/>
    <w:rsid w:val="43486E29"/>
    <w:rsid w:val="434916E8"/>
    <w:rsid w:val="434A3F97"/>
    <w:rsid w:val="434C3094"/>
    <w:rsid w:val="434F77FF"/>
    <w:rsid w:val="43535FC5"/>
    <w:rsid w:val="43560B8E"/>
    <w:rsid w:val="4356528D"/>
    <w:rsid w:val="435A3FDA"/>
    <w:rsid w:val="435E089A"/>
    <w:rsid w:val="435E5C94"/>
    <w:rsid w:val="436037BB"/>
    <w:rsid w:val="43610F73"/>
    <w:rsid w:val="43646835"/>
    <w:rsid w:val="43670FED"/>
    <w:rsid w:val="43673763"/>
    <w:rsid w:val="436977C5"/>
    <w:rsid w:val="43702CDE"/>
    <w:rsid w:val="43730442"/>
    <w:rsid w:val="4373217E"/>
    <w:rsid w:val="43741014"/>
    <w:rsid w:val="4374370A"/>
    <w:rsid w:val="43747266"/>
    <w:rsid w:val="437707F7"/>
    <w:rsid w:val="43783E2A"/>
    <w:rsid w:val="437A1BC2"/>
    <w:rsid w:val="437D7E12"/>
    <w:rsid w:val="437E00E5"/>
    <w:rsid w:val="437E195C"/>
    <w:rsid w:val="43812585"/>
    <w:rsid w:val="43834DBF"/>
    <w:rsid w:val="438566D6"/>
    <w:rsid w:val="43874C19"/>
    <w:rsid w:val="4388594C"/>
    <w:rsid w:val="438B57AF"/>
    <w:rsid w:val="43931DE2"/>
    <w:rsid w:val="43947B0A"/>
    <w:rsid w:val="4396090B"/>
    <w:rsid w:val="43972F54"/>
    <w:rsid w:val="43977176"/>
    <w:rsid w:val="439C1270"/>
    <w:rsid w:val="439D5279"/>
    <w:rsid w:val="439E6E16"/>
    <w:rsid w:val="43A06086"/>
    <w:rsid w:val="43A7763B"/>
    <w:rsid w:val="43A808E6"/>
    <w:rsid w:val="43AA712C"/>
    <w:rsid w:val="43B12268"/>
    <w:rsid w:val="43B252D0"/>
    <w:rsid w:val="43B27B25"/>
    <w:rsid w:val="43B609B2"/>
    <w:rsid w:val="43B6162D"/>
    <w:rsid w:val="43B65AD0"/>
    <w:rsid w:val="43B90049"/>
    <w:rsid w:val="43B9736F"/>
    <w:rsid w:val="43BB30E7"/>
    <w:rsid w:val="43BB7B65"/>
    <w:rsid w:val="43BD2F13"/>
    <w:rsid w:val="43C04259"/>
    <w:rsid w:val="43C308F0"/>
    <w:rsid w:val="43C30BE5"/>
    <w:rsid w:val="43C30F43"/>
    <w:rsid w:val="43C63E8C"/>
    <w:rsid w:val="43C8029D"/>
    <w:rsid w:val="43C8574E"/>
    <w:rsid w:val="43CC52F4"/>
    <w:rsid w:val="43CD4BC8"/>
    <w:rsid w:val="43CE2E1A"/>
    <w:rsid w:val="43D2480F"/>
    <w:rsid w:val="43D45F57"/>
    <w:rsid w:val="43D52BA2"/>
    <w:rsid w:val="43D63A7D"/>
    <w:rsid w:val="43D877F5"/>
    <w:rsid w:val="43DA6CD7"/>
    <w:rsid w:val="43DB72E5"/>
    <w:rsid w:val="43DF5E12"/>
    <w:rsid w:val="43E30E9C"/>
    <w:rsid w:val="43E75C8A"/>
    <w:rsid w:val="43E837B0"/>
    <w:rsid w:val="43E8672E"/>
    <w:rsid w:val="43E90552"/>
    <w:rsid w:val="43E97C54"/>
    <w:rsid w:val="43EF0FE2"/>
    <w:rsid w:val="43F14D5A"/>
    <w:rsid w:val="43F3462F"/>
    <w:rsid w:val="43F829C4"/>
    <w:rsid w:val="44010479"/>
    <w:rsid w:val="44013E0B"/>
    <w:rsid w:val="44021387"/>
    <w:rsid w:val="440305EA"/>
    <w:rsid w:val="44032EAB"/>
    <w:rsid w:val="440844C7"/>
    <w:rsid w:val="44095C00"/>
    <w:rsid w:val="440C11BB"/>
    <w:rsid w:val="440C259B"/>
    <w:rsid w:val="440E3217"/>
    <w:rsid w:val="44110F59"/>
    <w:rsid w:val="44114AB5"/>
    <w:rsid w:val="44136A7F"/>
    <w:rsid w:val="44184095"/>
    <w:rsid w:val="44184879"/>
    <w:rsid w:val="4418721F"/>
    <w:rsid w:val="441B2324"/>
    <w:rsid w:val="441E71D2"/>
    <w:rsid w:val="44217909"/>
    <w:rsid w:val="44242A3A"/>
    <w:rsid w:val="44255D38"/>
    <w:rsid w:val="442623C9"/>
    <w:rsid w:val="442A5B77"/>
    <w:rsid w:val="442A5F2D"/>
    <w:rsid w:val="44312AD7"/>
    <w:rsid w:val="44351A7A"/>
    <w:rsid w:val="443609BF"/>
    <w:rsid w:val="443747C8"/>
    <w:rsid w:val="44395259"/>
    <w:rsid w:val="443C4228"/>
    <w:rsid w:val="44414A17"/>
    <w:rsid w:val="444970E5"/>
    <w:rsid w:val="444B119E"/>
    <w:rsid w:val="444C01E3"/>
    <w:rsid w:val="444C1F91"/>
    <w:rsid w:val="445007AB"/>
    <w:rsid w:val="44501A81"/>
    <w:rsid w:val="4450271C"/>
    <w:rsid w:val="44531571"/>
    <w:rsid w:val="445350CD"/>
    <w:rsid w:val="44557097"/>
    <w:rsid w:val="44564BBE"/>
    <w:rsid w:val="445826E4"/>
    <w:rsid w:val="445917AA"/>
    <w:rsid w:val="445D419E"/>
    <w:rsid w:val="445F2585"/>
    <w:rsid w:val="445F7F16"/>
    <w:rsid w:val="44662FEB"/>
    <w:rsid w:val="44677A54"/>
    <w:rsid w:val="446826B3"/>
    <w:rsid w:val="44692EB5"/>
    <w:rsid w:val="446A2417"/>
    <w:rsid w:val="446F3F05"/>
    <w:rsid w:val="44703ED1"/>
    <w:rsid w:val="44717E40"/>
    <w:rsid w:val="447339C1"/>
    <w:rsid w:val="447D039C"/>
    <w:rsid w:val="447E7F97"/>
    <w:rsid w:val="447F2366"/>
    <w:rsid w:val="447F45B5"/>
    <w:rsid w:val="447F5EC2"/>
    <w:rsid w:val="448654A3"/>
    <w:rsid w:val="44873F4A"/>
    <w:rsid w:val="448869A7"/>
    <w:rsid w:val="44896D41"/>
    <w:rsid w:val="448B4867"/>
    <w:rsid w:val="448D4A83"/>
    <w:rsid w:val="448E70B8"/>
    <w:rsid w:val="448F766A"/>
    <w:rsid w:val="44964107"/>
    <w:rsid w:val="44973ED1"/>
    <w:rsid w:val="449B0822"/>
    <w:rsid w:val="449B41B4"/>
    <w:rsid w:val="449F6565"/>
    <w:rsid w:val="44A25BB4"/>
    <w:rsid w:val="44A27E03"/>
    <w:rsid w:val="44A8418D"/>
    <w:rsid w:val="44AC2A30"/>
    <w:rsid w:val="44B042CE"/>
    <w:rsid w:val="44B04651"/>
    <w:rsid w:val="44B244EA"/>
    <w:rsid w:val="44B33DBE"/>
    <w:rsid w:val="44B35B28"/>
    <w:rsid w:val="44B36F74"/>
    <w:rsid w:val="44BA514C"/>
    <w:rsid w:val="44BA7F63"/>
    <w:rsid w:val="44BC2D3C"/>
    <w:rsid w:val="44BF09B5"/>
    <w:rsid w:val="44BF59D3"/>
    <w:rsid w:val="44C15D5B"/>
    <w:rsid w:val="44C4421D"/>
    <w:rsid w:val="44C66557"/>
    <w:rsid w:val="44C70E65"/>
    <w:rsid w:val="44C71617"/>
    <w:rsid w:val="44C765F0"/>
    <w:rsid w:val="44C77869"/>
    <w:rsid w:val="44CB735A"/>
    <w:rsid w:val="44CD23F7"/>
    <w:rsid w:val="44CD43F1"/>
    <w:rsid w:val="44CD4E80"/>
    <w:rsid w:val="44D07220"/>
    <w:rsid w:val="44D426B2"/>
    <w:rsid w:val="44D73A96"/>
    <w:rsid w:val="44D73E0C"/>
    <w:rsid w:val="44D748F2"/>
    <w:rsid w:val="44D7609F"/>
    <w:rsid w:val="44D86AAB"/>
    <w:rsid w:val="44DA081F"/>
    <w:rsid w:val="44DA19E6"/>
    <w:rsid w:val="44E1092B"/>
    <w:rsid w:val="44E13A9C"/>
    <w:rsid w:val="44E64193"/>
    <w:rsid w:val="44E73806"/>
    <w:rsid w:val="44E977E0"/>
    <w:rsid w:val="44EA6B4F"/>
    <w:rsid w:val="44EB17AA"/>
    <w:rsid w:val="44EC41FB"/>
    <w:rsid w:val="44ED1F84"/>
    <w:rsid w:val="44ED5522"/>
    <w:rsid w:val="44F01394"/>
    <w:rsid w:val="44F16CA0"/>
    <w:rsid w:val="44F17A51"/>
    <w:rsid w:val="44F40463"/>
    <w:rsid w:val="44F543D6"/>
    <w:rsid w:val="44F84D3A"/>
    <w:rsid w:val="44F87A23"/>
    <w:rsid w:val="44F92119"/>
    <w:rsid w:val="44FB010E"/>
    <w:rsid w:val="44FC4AA6"/>
    <w:rsid w:val="44FC4B75"/>
    <w:rsid w:val="44FD05FE"/>
    <w:rsid w:val="44FE1803"/>
    <w:rsid w:val="44FF3CAE"/>
    <w:rsid w:val="45001CA2"/>
    <w:rsid w:val="45034D45"/>
    <w:rsid w:val="45083C0D"/>
    <w:rsid w:val="4508411A"/>
    <w:rsid w:val="450872F6"/>
    <w:rsid w:val="450B35E8"/>
    <w:rsid w:val="450E7246"/>
    <w:rsid w:val="450F6308"/>
    <w:rsid w:val="45103668"/>
    <w:rsid w:val="451231DA"/>
    <w:rsid w:val="4513485D"/>
    <w:rsid w:val="451437C1"/>
    <w:rsid w:val="45145840"/>
    <w:rsid w:val="451637C4"/>
    <w:rsid w:val="45172AF0"/>
    <w:rsid w:val="451A208F"/>
    <w:rsid w:val="451C5E07"/>
    <w:rsid w:val="451E0109"/>
    <w:rsid w:val="451E392D"/>
    <w:rsid w:val="451F45E6"/>
    <w:rsid w:val="45203936"/>
    <w:rsid w:val="452151CC"/>
    <w:rsid w:val="4524145A"/>
    <w:rsid w:val="452440DC"/>
    <w:rsid w:val="452B1BA6"/>
    <w:rsid w:val="452B429C"/>
    <w:rsid w:val="452D1B67"/>
    <w:rsid w:val="45351354"/>
    <w:rsid w:val="4536643E"/>
    <w:rsid w:val="4538593A"/>
    <w:rsid w:val="453A395D"/>
    <w:rsid w:val="453A425B"/>
    <w:rsid w:val="453A47B6"/>
    <w:rsid w:val="453F0F59"/>
    <w:rsid w:val="453F38A4"/>
    <w:rsid w:val="4541586E"/>
    <w:rsid w:val="45452CCD"/>
    <w:rsid w:val="454A6124"/>
    <w:rsid w:val="454D6747"/>
    <w:rsid w:val="454E31A1"/>
    <w:rsid w:val="454F7F81"/>
    <w:rsid w:val="455251BA"/>
    <w:rsid w:val="45552C83"/>
    <w:rsid w:val="45575091"/>
    <w:rsid w:val="455946D1"/>
    <w:rsid w:val="455A63B3"/>
    <w:rsid w:val="455C46D9"/>
    <w:rsid w:val="455C4E65"/>
    <w:rsid w:val="455D3D3E"/>
    <w:rsid w:val="455E1A36"/>
    <w:rsid w:val="455E1F7C"/>
    <w:rsid w:val="455E70CA"/>
    <w:rsid w:val="456003F3"/>
    <w:rsid w:val="4565155C"/>
    <w:rsid w:val="4568008F"/>
    <w:rsid w:val="45687871"/>
    <w:rsid w:val="45687A80"/>
    <w:rsid w:val="456B28EB"/>
    <w:rsid w:val="456B4699"/>
    <w:rsid w:val="456C5270"/>
    <w:rsid w:val="456D21BF"/>
    <w:rsid w:val="4570474B"/>
    <w:rsid w:val="457075BB"/>
    <w:rsid w:val="4576013C"/>
    <w:rsid w:val="45763769"/>
    <w:rsid w:val="4577186C"/>
    <w:rsid w:val="45773406"/>
    <w:rsid w:val="45774DEB"/>
    <w:rsid w:val="45790B64"/>
    <w:rsid w:val="457A5EB1"/>
    <w:rsid w:val="457D162B"/>
    <w:rsid w:val="45860C50"/>
    <w:rsid w:val="458620FD"/>
    <w:rsid w:val="45870DFA"/>
    <w:rsid w:val="4588524B"/>
    <w:rsid w:val="45886FF9"/>
    <w:rsid w:val="458D2861"/>
    <w:rsid w:val="45905EAD"/>
    <w:rsid w:val="45920619"/>
    <w:rsid w:val="45955A31"/>
    <w:rsid w:val="4596510C"/>
    <w:rsid w:val="459E4A6E"/>
    <w:rsid w:val="459F01AE"/>
    <w:rsid w:val="45A14501"/>
    <w:rsid w:val="45A20A06"/>
    <w:rsid w:val="45A57580"/>
    <w:rsid w:val="45A71B75"/>
    <w:rsid w:val="45A726F8"/>
    <w:rsid w:val="45AF27D7"/>
    <w:rsid w:val="45B014FC"/>
    <w:rsid w:val="45B26851"/>
    <w:rsid w:val="45B3114C"/>
    <w:rsid w:val="45B5793D"/>
    <w:rsid w:val="45B73FD1"/>
    <w:rsid w:val="45B826FF"/>
    <w:rsid w:val="45B95404"/>
    <w:rsid w:val="45BE45A3"/>
    <w:rsid w:val="45BF523E"/>
    <w:rsid w:val="45C01F54"/>
    <w:rsid w:val="45C17881"/>
    <w:rsid w:val="45C47564"/>
    <w:rsid w:val="45C5024D"/>
    <w:rsid w:val="45C73FC5"/>
    <w:rsid w:val="45CA7611"/>
    <w:rsid w:val="45CB18B1"/>
    <w:rsid w:val="45CE3312"/>
    <w:rsid w:val="45CE40A6"/>
    <w:rsid w:val="45CF0A5E"/>
    <w:rsid w:val="45D31F1F"/>
    <w:rsid w:val="45D52121"/>
    <w:rsid w:val="45D97854"/>
    <w:rsid w:val="45DB181E"/>
    <w:rsid w:val="45DB40BE"/>
    <w:rsid w:val="45DF42F9"/>
    <w:rsid w:val="45DF65FA"/>
    <w:rsid w:val="45E02BB8"/>
    <w:rsid w:val="45E306D3"/>
    <w:rsid w:val="45E5269D"/>
    <w:rsid w:val="45E63B98"/>
    <w:rsid w:val="45E71F71"/>
    <w:rsid w:val="45E75E13"/>
    <w:rsid w:val="45E96FDC"/>
    <w:rsid w:val="45EA6924"/>
    <w:rsid w:val="45EB4683"/>
    <w:rsid w:val="45ED413D"/>
    <w:rsid w:val="45EE77A4"/>
    <w:rsid w:val="45F60406"/>
    <w:rsid w:val="45F62581"/>
    <w:rsid w:val="45FB202E"/>
    <w:rsid w:val="45FB5A1D"/>
    <w:rsid w:val="45FD02F5"/>
    <w:rsid w:val="45FD79E7"/>
    <w:rsid w:val="460074D7"/>
    <w:rsid w:val="46040D75"/>
    <w:rsid w:val="460748BC"/>
    <w:rsid w:val="46082D8A"/>
    <w:rsid w:val="460B43A8"/>
    <w:rsid w:val="460D43D4"/>
    <w:rsid w:val="460E0263"/>
    <w:rsid w:val="460E39A2"/>
    <w:rsid w:val="460F36A2"/>
    <w:rsid w:val="460F7DC3"/>
    <w:rsid w:val="46107E7C"/>
    <w:rsid w:val="461147F2"/>
    <w:rsid w:val="46115240"/>
    <w:rsid w:val="461519E5"/>
    <w:rsid w:val="461877E1"/>
    <w:rsid w:val="46195438"/>
    <w:rsid w:val="461C5F1F"/>
    <w:rsid w:val="461D180F"/>
    <w:rsid w:val="461F162A"/>
    <w:rsid w:val="461F5BAF"/>
    <w:rsid w:val="462103E3"/>
    <w:rsid w:val="46250CEB"/>
    <w:rsid w:val="46253258"/>
    <w:rsid w:val="462E5DF2"/>
    <w:rsid w:val="462F2783"/>
    <w:rsid w:val="462F3918"/>
    <w:rsid w:val="4631143E"/>
    <w:rsid w:val="4631264B"/>
    <w:rsid w:val="463158E2"/>
    <w:rsid w:val="46326F64"/>
    <w:rsid w:val="46357180"/>
    <w:rsid w:val="463E5C66"/>
    <w:rsid w:val="46405D27"/>
    <w:rsid w:val="46432880"/>
    <w:rsid w:val="46461101"/>
    <w:rsid w:val="46472A10"/>
    <w:rsid w:val="464949DA"/>
    <w:rsid w:val="464B1442"/>
    <w:rsid w:val="464C44CA"/>
    <w:rsid w:val="46513944"/>
    <w:rsid w:val="46537814"/>
    <w:rsid w:val="46582E6F"/>
    <w:rsid w:val="4661286F"/>
    <w:rsid w:val="466156C4"/>
    <w:rsid w:val="46615B68"/>
    <w:rsid w:val="46650AE8"/>
    <w:rsid w:val="4665558C"/>
    <w:rsid w:val="466C691A"/>
    <w:rsid w:val="466D50CC"/>
    <w:rsid w:val="466E2692"/>
    <w:rsid w:val="466E2B87"/>
    <w:rsid w:val="466E55DA"/>
    <w:rsid w:val="466F7B4E"/>
    <w:rsid w:val="4670640B"/>
    <w:rsid w:val="46713F31"/>
    <w:rsid w:val="46714FB4"/>
    <w:rsid w:val="46742889"/>
    <w:rsid w:val="46746453"/>
    <w:rsid w:val="46761547"/>
    <w:rsid w:val="467852BF"/>
    <w:rsid w:val="46790F48"/>
    <w:rsid w:val="467B372D"/>
    <w:rsid w:val="467B6B5D"/>
    <w:rsid w:val="467C18D8"/>
    <w:rsid w:val="467C4DAF"/>
    <w:rsid w:val="46811664"/>
    <w:rsid w:val="46813B8C"/>
    <w:rsid w:val="46822E94"/>
    <w:rsid w:val="4682613E"/>
    <w:rsid w:val="468541A6"/>
    <w:rsid w:val="46893424"/>
    <w:rsid w:val="468A1A2B"/>
    <w:rsid w:val="468A66A3"/>
    <w:rsid w:val="468C1A96"/>
    <w:rsid w:val="468F13E1"/>
    <w:rsid w:val="46907C18"/>
    <w:rsid w:val="46911FB3"/>
    <w:rsid w:val="46971ECF"/>
    <w:rsid w:val="4698770F"/>
    <w:rsid w:val="469B3727"/>
    <w:rsid w:val="469B52CB"/>
    <w:rsid w:val="469F0A9E"/>
    <w:rsid w:val="469F48AF"/>
    <w:rsid w:val="46A27FDB"/>
    <w:rsid w:val="46A460B4"/>
    <w:rsid w:val="46A610D3"/>
    <w:rsid w:val="46A81A41"/>
    <w:rsid w:val="46AB11F1"/>
    <w:rsid w:val="46AB7443"/>
    <w:rsid w:val="46B242D3"/>
    <w:rsid w:val="46B362F7"/>
    <w:rsid w:val="46B7689A"/>
    <w:rsid w:val="46B96EEB"/>
    <w:rsid w:val="46BC1650"/>
    <w:rsid w:val="46BC33FE"/>
    <w:rsid w:val="46BD6773"/>
    <w:rsid w:val="46C011A2"/>
    <w:rsid w:val="46C73B51"/>
    <w:rsid w:val="46C978C9"/>
    <w:rsid w:val="46CF2ED2"/>
    <w:rsid w:val="46D117FA"/>
    <w:rsid w:val="46D63D94"/>
    <w:rsid w:val="46D6450B"/>
    <w:rsid w:val="46D64CD8"/>
    <w:rsid w:val="46DA3884"/>
    <w:rsid w:val="46DB7808"/>
    <w:rsid w:val="46DD3374"/>
    <w:rsid w:val="46DF533E"/>
    <w:rsid w:val="46E1565D"/>
    <w:rsid w:val="46E35436"/>
    <w:rsid w:val="46E81F53"/>
    <w:rsid w:val="46E8270B"/>
    <w:rsid w:val="46E93AC7"/>
    <w:rsid w:val="46E953BF"/>
    <w:rsid w:val="46F012F9"/>
    <w:rsid w:val="46F030A7"/>
    <w:rsid w:val="46F05587"/>
    <w:rsid w:val="46F26477"/>
    <w:rsid w:val="46F5246C"/>
    <w:rsid w:val="46F64A8A"/>
    <w:rsid w:val="46F81D60"/>
    <w:rsid w:val="46F86281"/>
    <w:rsid w:val="46F870C2"/>
    <w:rsid w:val="46FA6914"/>
    <w:rsid w:val="46FC1443"/>
    <w:rsid w:val="46FD5330"/>
    <w:rsid w:val="470413C5"/>
    <w:rsid w:val="4707527A"/>
    <w:rsid w:val="47084895"/>
    <w:rsid w:val="470937BE"/>
    <w:rsid w:val="47094A6E"/>
    <w:rsid w:val="47095F17"/>
    <w:rsid w:val="470B5E24"/>
    <w:rsid w:val="470C46AC"/>
    <w:rsid w:val="47136D96"/>
    <w:rsid w:val="47145228"/>
    <w:rsid w:val="47160DFB"/>
    <w:rsid w:val="47166CC9"/>
    <w:rsid w:val="47196E62"/>
    <w:rsid w:val="471A2F16"/>
    <w:rsid w:val="471A6376"/>
    <w:rsid w:val="471C3BD3"/>
    <w:rsid w:val="471C3E9C"/>
    <w:rsid w:val="471F73C4"/>
    <w:rsid w:val="47215957"/>
    <w:rsid w:val="472E597E"/>
    <w:rsid w:val="472F384F"/>
    <w:rsid w:val="47336978"/>
    <w:rsid w:val="4734568A"/>
    <w:rsid w:val="473531B0"/>
    <w:rsid w:val="47354447"/>
    <w:rsid w:val="47356E04"/>
    <w:rsid w:val="47392CA0"/>
    <w:rsid w:val="473A098D"/>
    <w:rsid w:val="473D737F"/>
    <w:rsid w:val="473F1CAF"/>
    <w:rsid w:val="47417205"/>
    <w:rsid w:val="47422765"/>
    <w:rsid w:val="47423355"/>
    <w:rsid w:val="47431498"/>
    <w:rsid w:val="474341E9"/>
    <w:rsid w:val="47462CC7"/>
    <w:rsid w:val="474653BD"/>
    <w:rsid w:val="47482EE3"/>
    <w:rsid w:val="474927B8"/>
    <w:rsid w:val="474972CF"/>
    <w:rsid w:val="474B0490"/>
    <w:rsid w:val="474B29D4"/>
    <w:rsid w:val="474E4D47"/>
    <w:rsid w:val="47510A3B"/>
    <w:rsid w:val="47541E21"/>
    <w:rsid w:val="475517F7"/>
    <w:rsid w:val="47571378"/>
    <w:rsid w:val="47574ED5"/>
    <w:rsid w:val="47577CA3"/>
    <w:rsid w:val="47582B0E"/>
    <w:rsid w:val="475842AA"/>
    <w:rsid w:val="475C24EB"/>
    <w:rsid w:val="475C40C0"/>
    <w:rsid w:val="475D3CBA"/>
    <w:rsid w:val="475F03BB"/>
    <w:rsid w:val="4760647F"/>
    <w:rsid w:val="47612BA4"/>
    <w:rsid w:val="47621D4A"/>
    <w:rsid w:val="47633879"/>
    <w:rsid w:val="477041E8"/>
    <w:rsid w:val="47753D4A"/>
    <w:rsid w:val="47767A51"/>
    <w:rsid w:val="47784185"/>
    <w:rsid w:val="47797541"/>
    <w:rsid w:val="477C0DDF"/>
    <w:rsid w:val="477C109A"/>
    <w:rsid w:val="478077BD"/>
    <w:rsid w:val="478163F5"/>
    <w:rsid w:val="47823B9C"/>
    <w:rsid w:val="47855EE6"/>
    <w:rsid w:val="47857C94"/>
    <w:rsid w:val="47877015"/>
    <w:rsid w:val="47887784"/>
    <w:rsid w:val="478919FA"/>
    <w:rsid w:val="478A4CFB"/>
    <w:rsid w:val="478B1022"/>
    <w:rsid w:val="4794690E"/>
    <w:rsid w:val="479559FD"/>
    <w:rsid w:val="47983216"/>
    <w:rsid w:val="4799255F"/>
    <w:rsid w:val="479C1C2E"/>
    <w:rsid w:val="479C22C0"/>
    <w:rsid w:val="479E3213"/>
    <w:rsid w:val="479E6783"/>
    <w:rsid w:val="479F062A"/>
    <w:rsid w:val="47A02DAD"/>
    <w:rsid w:val="47A10846"/>
    <w:rsid w:val="47A12831"/>
    <w:rsid w:val="47A5305D"/>
    <w:rsid w:val="47A619B8"/>
    <w:rsid w:val="47A85415"/>
    <w:rsid w:val="47AE6D4C"/>
    <w:rsid w:val="47AE7F5C"/>
    <w:rsid w:val="47AF4D11"/>
    <w:rsid w:val="47AF6ABF"/>
    <w:rsid w:val="47B40579"/>
    <w:rsid w:val="47B74AF5"/>
    <w:rsid w:val="47B90F0F"/>
    <w:rsid w:val="47BB2380"/>
    <w:rsid w:val="47BB5C4E"/>
    <w:rsid w:val="47BC567F"/>
    <w:rsid w:val="47C22C96"/>
    <w:rsid w:val="47C236DB"/>
    <w:rsid w:val="47C32229"/>
    <w:rsid w:val="47C32F55"/>
    <w:rsid w:val="47CA5B22"/>
    <w:rsid w:val="47CB5286"/>
    <w:rsid w:val="47CD33E9"/>
    <w:rsid w:val="47D04ECB"/>
    <w:rsid w:val="47D17F51"/>
    <w:rsid w:val="47D215BA"/>
    <w:rsid w:val="47D2176E"/>
    <w:rsid w:val="47D66741"/>
    <w:rsid w:val="47D966DA"/>
    <w:rsid w:val="47DF5A62"/>
    <w:rsid w:val="47DF79F2"/>
    <w:rsid w:val="47E026BA"/>
    <w:rsid w:val="47E328E8"/>
    <w:rsid w:val="47E7038C"/>
    <w:rsid w:val="47EE4EEC"/>
    <w:rsid w:val="47EE5F11"/>
    <w:rsid w:val="47EF1C8E"/>
    <w:rsid w:val="47F24BFD"/>
    <w:rsid w:val="47F57C70"/>
    <w:rsid w:val="47F71ED4"/>
    <w:rsid w:val="47FC1DAB"/>
    <w:rsid w:val="47FE35A2"/>
    <w:rsid w:val="47FE7A46"/>
    <w:rsid w:val="47FF72E8"/>
    <w:rsid w:val="48003EE6"/>
    <w:rsid w:val="48052B82"/>
    <w:rsid w:val="48076CE4"/>
    <w:rsid w:val="48081842"/>
    <w:rsid w:val="48095FAB"/>
    <w:rsid w:val="480D0F64"/>
    <w:rsid w:val="480D4DF2"/>
    <w:rsid w:val="480D5475"/>
    <w:rsid w:val="480D784D"/>
    <w:rsid w:val="480E1B63"/>
    <w:rsid w:val="480F755D"/>
    <w:rsid w:val="4810330E"/>
    <w:rsid w:val="48132B56"/>
    <w:rsid w:val="48150993"/>
    <w:rsid w:val="481C1C7A"/>
    <w:rsid w:val="481C6F8D"/>
    <w:rsid w:val="481D611E"/>
    <w:rsid w:val="481E7D4C"/>
    <w:rsid w:val="48205333"/>
    <w:rsid w:val="48284AC3"/>
    <w:rsid w:val="48286871"/>
    <w:rsid w:val="482D143E"/>
    <w:rsid w:val="48313978"/>
    <w:rsid w:val="483551B7"/>
    <w:rsid w:val="48360B4D"/>
    <w:rsid w:val="48360F8E"/>
    <w:rsid w:val="483671E0"/>
    <w:rsid w:val="483B0352"/>
    <w:rsid w:val="483B47F6"/>
    <w:rsid w:val="483B4BCE"/>
    <w:rsid w:val="483E104A"/>
    <w:rsid w:val="483E6094"/>
    <w:rsid w:val="483E7E42"/>
    <w:rsid w:val="4840038A"/>
    <w:rsid w:val="48446A20"/>
    <w:rsid w:val="4847319B"/>
    <w:rsid w:val="48480CC1"/>
    <w:rsid w:val="484B629B"/>
    <w:rsid w:val="484B6F47"/>
    <w:rsid w:val="484E6448"/>
    <w:rsid w:val="48545F47"/>
    <w:rsid w:val="48566B3C"/>
    <w:rsid w:val="48567212"/>
    <w:rsid w:val="48571E07"/>
    <w:rsid w:val="48592ECE"/>
    <w:rsid w:val="48596E0B"/>
    <w:rsid w:val="485A08C6"/>
    <w:rsid w:val="485D17EE"/>
    <w:rsid w:val="485D29BF"/>
    <w:rsid w:val="48601DF7"/>
    <w:rsid w:val="48623B31"/>
    <w:rsid w:val="486362F5"/>
    <w:rsid w:val="48651873"/>
    <w:rsid w:val="48654D20"/>
    <w:rsid w:val="486F4309"/>
    <w:rsid w:val="48751788"/>
    <w:rsid w:val="487636A8"/>
    <w:rsid w:val="487A2795"/>
    <w:rsid w:val="487A3570"/>
    <w:rsid w:val="487B4B2A"/>
    <w:rsid w:val="487D10B5"/>
    <w:rsid w:val="487F0B87"/>
    <w:rsid w:val="487F0CD8"/>
    <w:rsid w:val="487F54BA"/>
    <w:rsid w:val="48831A20"/>
    <w:rsid w:val="48834812"/>
    <w:rsid w:val="48890756"/>
    <w:rsid w:val="48896B55"/>
    <w:rsid w:val="48897310"/>
    <w:rsid w:val="488C46B3"/>
    <w:rsid w:val="488C5052"/>
    <w:rsid w:val="488D09E5"/>
    <w:rsid w:val="488D2577"/>
    <w:rsid w:val="48914416"/>
    <w:rsid w:val="48916BBC"/>
    <w:rsid w:val="48932FAF"/>
    <w:rsid w:val="489750AD"/>
    <w:rsid w:val="489932CB"/>
    <w:rsid w:val="48995FAC"/>
    <w:rsid w:val="489C2843"/>
    <w:rsid w:val="489E48D3"/>
    <w:rsid w:val="48A16946"/>
    <w:rsid w:val="48A203D1"/>
    <w:rsid w:val="48A56114"/>
    <w:rsid w:val="48A95C04"/>
    <w:rsid w:val="48AE1522"/>
    <w:rsid w:val="48AF50CF"/>
    <w:rsid w:val="48B116BE"/>
    <w:rsid w:val="48B1762F"/>
    <w:rsid w:val="48B63E7D"/>
    <w:rsid w:val="48B661EA"/>
    <w:rsid w:val="48B72893"/>
    <w:rsid w:val="48B8326F"/>
    <w:rsid w:val="48BB508E"/>
    <w:rsid w:val="48C06614"/>
    <w:rsid w:val="48C0740F"/>
    <w:rsid w:val="48C26CC5"/>
    <w:rsid w:val="48C8218D"/>
    <w:rsid w:val="48C92735"/>
    <w:rsid w:val="48CA7928"/>
    <w:rsid w:val="48CC544E"/>
    <w:rsid w:val="48CC6402"/>
    <w:rsid w:val="48D367DD"/>
    <w:rsid w:val="48D86EC4"/>
    <w:rsid w:val="48DA5DBD"/>
    <w:rsid w:val="48E1714C"/>
    <w:rsid w:val="48E44885"/>
    <w:rsid w:val="48E6571F"/>
    <w:rsid w:val="48E81C0D"/>
    <w:rsid w:val="48EE48FE"/>
    <w:rsid w:val="48F20B2A"/>
    <w:rsid w:val="48F26174"/>
    <w:rsid w:val="48F54724"/>
    <w:rsid w:val="48F7646A"/>
    <w:rsid w:val="48FA020D"/>
    <w:rsid w:val="48FC21D7"/>
    <w:rsid w:val="48FE7320"/>
    <w:rsid w:val="48FF6883"/>
    <w:rsid w:val="490019CF"/>
    <w:rsid w:val="49074E74"/>
    <w:rsid w:val="490C1EB1"/>
    <w:rsid w:val="490D74F1"/>
    <w:rsid w:val="490E21F3"/>
    <w:rsid w:val="490E5F48"/>
    <w:rsid w:val="49130195"/>
    <w:rsid w:val="491633E1"/>
    <w:rsid w:val="49180F95"/>
    <w:rsid w:val="491A08B0"/>
    <w:rsid w:val="491B4E20"/>
    <w:rsid w:val="491C2168"/>
    <w:rsid w:val="491D3EFC"/>
    <w:rsid w:val="49203DD7"/>
    <w:rsid w:val="492118D1"/>
    <w:rsid w:val="4922594F"/>
    <w:rsid w:val="49237999"/>
    <w:rsid w:val="4924528A"/>
    <w:rsid w:val="49267254"/>
    <w:rsid w:val="49282FCC"/>
    <w:rsid w:val="492A1F29"/>
    <w:rsid w:val="492C1B5C"/>
    <w:rsid w:val="492E435B"/>
    <w:rsid w:val="492E7EB7"/>
    <w:rsid w:val="49333080"/>
    <w:rsid w:val="49355CE9"/>
    <w:rsid w:val="49367E1C"/>
    <w:rsid w:val="49374FBE"/>
    <w:rsid w:val="4938297B"/>
    <w:rsid w:val="49383074"/>
    <w:rsid w:val="493A2D00"/>
    <w:rsid w:val="4941408E"/>
    <w:rsid w:val="494476DB"/>
    <w:rsid w:val="49463453"/>
    <w:rsid w:val="49496A9F"/>
    <w:rsid w:val="4949733E"/>
    <w:rsid w:val="494B7F08"/>
    <w:rsid w:val="494C627D"/>
    <w:rsid w:val="494D0269"/>
    <w:rsid w:val="494E4269"/>
    <w:rsid w:val="494F67AB"/>
    <w:rsid w:val="49502F3F"/>
    <w:rsid w:val="49507E2D"/>
    <w:rsid w:val="49512E15"/>
    <w:rsid w:val="49534E8D"/>
    <w:rsid w:val="49535B70"/>
    <w:rsid w:val="4955686D"/>
    <w:rsid w:val="49586022"/>
    <w:rsid w:val="495F34AE"/>
    <w:rsid w:val="49612A2D"/>
    <w:rsid w:val="49624746"/>
    <w:rsid w:val="49627B61"/>
    <w:rsid w:val="49650861"/>
    <w:rsid w:val="496511EA"/>
    <w:rsid w:val="496563E1"/>
    <w:rsid w:val="49664BFD"/>
    <w:rsid w:val="49697141"/>
    <w:rsid w:val="496C62A0"/>
    <w:rsid w:val="496F14F0"/>
    <w:rsid w:val="496F5E10"/>
    <w:rsid w:val="496F7D18"/>
    <w:rsid w:val="49711702"/>
    <w:rsid w:val="497565C6"/>
    <w:rsid w:val="4977185E"/>
    <w:rsid w:val="49774B1B"/>
    <w:rsid w:val="497844CB"/>
    <w:rsid w:val="497A30FC"/>
    <w:rsid w:val="497A3D4B"/>
    <w:rsid w:val="497E55B9"/>
    <w:rsid w:val="4981448B"/>
    <w:rsid w:val="498255EE"/>
    <w:rsid w:val="498521CD"/>
    <w:rsid w:val="49861AA1"/>
    <w:rsid w:val="49872991"/>
    <w:rsid w:val="49891AA4"/>
    <w:rsid w:val="49896373"/>
    <w:rsid w:val="498D72D3"/>
    <w:rsid w:val="49926698"/>
    <w:rsid w:val="49971F00"/>
    <w:rsid w:val="499A379E"/>
    <w:rsid w:val="499E0B03"/>
    <w:rsid w:val="499F2B63"/>
    <w:rsid w:val="49A10689"/>
    <w:rsid w:val="49A3330B"/>
    <w:rsid w:val="49A87C69"/>
    <w:rsid w:val="49B605D8"/>
    <w:rsid w:val="49B80751"/>
    <w:rsid w:val="49B91E77"/>
    <w:rsid w:val="49B97BDD"/>
    <w:rsid w:val="49BB46C9"/>
    <w:rsid w:val="49BB562E"/>
    <w:rsid w:val="49BC1967"/>
    <w:rsid w:val="49BE0036"/>
    <w:rsid w:val="49C16BB0"/>
    <w:rsid w:val="49C363BA"/>
    <w:rsid w:val="49C6119C"/>
    <w:rsid w:val="49C820BA"/>
    <w:rsid w:val="49C87685"/>
    <w:rsid w:val="49CD76D0"/>
    <w:rsid w:val="49D24CE6"/>
    <w:rsid w:val="49D26A28"/>
    <w:rsid w:val="49D337A0"/>
    <w:rsid w:val="49D4280C"/>
    <w:rsid w:val="49D663F8"/>
    <w:rsid w:val="49D93B4E"/>
    <w:rsid w:val="49DA3B9B"/>
    <w:rsid w:val="49E60792"/>
    <w:rsid w:val="49E669E4"/>
    <w:rsid w:val="49ED7D72"/>
    <w:rsid w:val="49EF2955"/>
    <w:rsid w:val="49F033BE"/>
    <w:rsid w:val="49F642B0"/>
    <w:rsid w:val="49F96717"/>
    <w:rsid w:val="49FA7A54"/>
    <w:rsid w:val="49FC1D63"/>
    <w:rsid w:val="49FC7FB5"/>
    <w:rsid w:val="49FD12F9"/>
    <w:rsid w:val="4A001294"/>
    <w:rsid w:val="4A015E62"/>
    <w:rsid w:val="4A051F04"/>
    <w:rsid w:val="4A05330E"/>
    <w:rsid w:val="4A072690"/>
    <w:rsid w:val="4A0B1378"/>
    <w:rsid w:val="4A0C644A"/>
    <w:rsid w:val="4A0E69B6"/>
    <w:rsid w:val="4A0F7918"/>
    <w:rsid w:val="4A115AFF"/>
    <w:rsid w:val="4A12524C"/>
    <w:rsid w:val="4A136827"/>
    <w:rsid w:val="4A1452FF"/>
    <w:rsid w:val="4A162E25"/>
    <w:rsid w:val="4A1B5A30"/>
    <w:rsid w:val="4A1C1D35"/>
    <w:rsid w:val="4A1D0657"/>
    <w:rsid w:val="4A1D1FA3"/>
    <w:rsid w:val="4A1F7DF6"/>
    <w:rsid w:val="4A221695"/>
    <w:rsid w:val="4A257BA3"/>
    <w:rsid w:val="4A260AF8"/>
    <w:rsid w:val="4A2A4B22"/>
    <w:rsid w:val="4A306387"/>
    <w:rsid w:val="4A3239D7"/>
    <w:rsid w:val="4A331C29"/>
    <w:rsid w:val="4A336389"/>
    <w:rsid w:val="4A347676"/>
    <w:rsid w:val="4A3A2D8B"/>
    <w:rsid w:val="4A3B288C"/>
    <w:rsid w:val="4A3D29A3"/>
    <w:rsid w:val="4A432A5C"/>
    <w:rsid w:val="4A43335A"/>
    <w:rsid w:val="4A435BE4"/>
    <w:rsid w:val="4A49147C"/>
    <w:rsid w:val="4A4965AD"/>
    <w:rsid w:val="4A4A0D21"/>
    <w:rsid w:val="4A4A7C56"/>
    <w:rsid w:val="4A513E5D"/>
    <w:rsid w:val="4A530CCA"/>
    <w:rsid w:val="4A566C98"/>
    <w:rsid w:val="4A5751EC"/>
    <w:rsid w:val="4A5D6CA6"/>
    <w:rsid w:val="4A5F5759"/>
    <w:rsid w:val="4A60129E"/>
    <w:rsid w:val="4A622C64"/>
    <w:rsid w:val="4A635AD8"/>
    <w:rsid w:val="4A6A532B"/>
    <w:rsid w:val="4A6C453C"/>
    <w:rsid w:val="4A6D04A0"/>
    <w:rsid w:val="4A70137D"/>
    <w:rsid w:val="4A720B6D"/>
    <w:rsid w:val="4A722025"/>
    <w:rsid w:val="4A730277"/>
    <w:rsid w:val="4A761B16"/>
    <w:rsid w:val="4A767685"/>
    <w:rsid w:val="4A78588E"/>
    <w:rsid w:val="4A7B66EC"/>
    <w:rsid w:val="4A817E11"/>
    <w:rsid w:val="4A834233"/>
    <w:rsid w:val="4A842484"/>
    <w:rsid w:val="4A8561FD"/>
    <w:rsid w:val="4A88747E"/>
    <w:rsid w:val="4A8B64A2"/>
    <w:rsid w:val="4A8D49FC"/>
    <w:rsid w:val="4A8D4F52"/>
    <w:rsid w:val="4A8D5F3D"/>
    <w:rsid w:val="4A914BA1"/>
    <w:rsid w:val="4A932B3A"/>
    <w:rsid w:val="4A961FD8"/>
    <w:rsid w:val="4A965D14"/>
    <w:rsid w:val="4A987961"/>
    <w:rsid w:val="4A9D1569"/>
    <w:rsid w:val="4A9D70A2"/>
    <w:rsid w:val="4A9D7A9D"/>
    <w:rsid w:val="4AA04DE4"/>
    <w:rsid w:val="4AA14DCA"/>
    <w:rsid w:val="4AA448D5"/>
    <w:rsid w:val="4AA5064D"/>
    <w:rsid w:val="4AA520EA"/>
    <w:rsid w:val="4AAC1C0E"/>
    <w:rsid w:val="4AB02606"/>
    <w:rsid w:val="4AB06DAB"/>
    <w:rsid w:val="4AB078E4"/>
    <w:rsid w:val="4AB32381"/>
    <w:rsid w:val="4AB32D6A"/>
    <w:rsid w:val="4AB60D72"/>
    <w:rsid w:val="4AB663B6"/>
    <w:rsid w:val="4AB80EF1"/>
    <w:rsid w:val="4AB8268A"/>
    <w:rsid w:val="4AC05487"/>
    <w:rsid w:val="4AC137F5"/>
    <w:rsid w:val="4AC2685D"/>
    <w:rsid w:val="4AC76815"/>
    <w:rsid w:val="4ACB25D1"/>
    <w:rsid w:val="4ACD191C"/>
    <w:rsid w:val="4AD11442"/>
    <w:rsid w:val="4AD471E9"/>
    <w:rsid w:val="4AD472AA"/>
    <w:rsid w:val="4AD57AA1"/>
    <w:rsid w:val="4AD625B4"/>
    <w:rsid w:val="4AD6318F"/>
    <w:rsid w:val="4AD74BC0"/>
    <w:rsid w:val="4ADB0018"/>
    <w:rsid w:val="4ADB5E1D"/>
    <w:rsid w:val="4ADD27A7"/>
    <w:rsid w:val="4ADF263B"/>
    <w:rsid w:val="4AE01685"/>
    <w:rsid w:val="4AE05F6E"/>
    <w:rsid w:val="4AE16297"/>
    <w:rsid w:val="4AE52C82"/>
    <w:rsid w:val="4AE70D94"/>
    <w:rsid w:val="4AEE5CEC"/>
    <w:rsid w:val="4AF018C8"/>
    <w:rsid w:val="4AF35404"/>
    <w:rsid w:val="4AFC6CA3"/>
    <w:rsid w:val="4B002380"/>
    <w:rsid w:val="4B03545A"/>
    <w:rsid w:val="4B043C09"/>
    <w:rsid w:val="4B0729BF"/>
    <w:rsid w:val="4B073B04"/>
    <w:rsid w:val="4B0A72AF"/>
    <w:rsid w:val="4B0E1D4E"/>
    <w:rsid w:val="4B0F04B4"/>
    <w:rsid w:val="4B0F21F8"/>
    <w:rsid w:val="4B0F7229"/>
    <w:rsid w:val="4B117A90"/>
    <w:rsid w:val="4B1258BC"/>
    <w:rsid w:val="4B141A1F"/>
    <w:rsid w:val="4B147368"/>
    <w:rsid w:val="4B180E1F"/>
    <w:rsid w:val="4B187071"/>
    <w:rsid w:val="4B193830"/>
    <w:rsid w:val="4B1C090F"/>
    <w:rsid w:val="4B1C5136"/>
    <w:rsid w:val="4B1C6A99"/>
    <w:rsid w:val="4B1C7954"/>
    <w:rsid w:val="4B1D01E3"/>
    <w:rsid w:val="4B1E410C"/>
    <w:rsid w:val="4B1E6E13"/>
    <w:rsid w:val="4B1F47E0"/>
    <w:rsid w:val="4B240F08"/>
    <w:rsid w:val="4B241572"/>
    <w:rsid w:val="4B272E10"/>
    <w:rsid w:val="4B2826F8"/>
    <w:rsid w:val="4B2B0B52"/>
    <w:rsid w:val="4B2C6678"/>
    <w:rsid w:val="4B2D2655"/>
    <w:rsid w:val="4B2E6D15"/>
    <w:rsid w:val="4B2F1727"/>
    <w:rsid w:val="4B314EFA"/>
    <w:rsid w:val="4B321EE0"/>
    <w:rsid w:val="4B324BC2"/>
    <w:rsid w:val="4B337A07"/>
    <w:rsid w:val="4B3612A5"/>
    <w:rsid w:val="4B386DCB"/>
    <w:rsid w:val="4B3C1573"/>
    <w:rsid w:val="4B3C2D5F"/>
    <w:rsid w:val="4B3F2513"/>
    <w:rsid w:val="4B421EB3"/>
    <w:rsid w:val="4B42396E"/>
    <w:rsid w:val="4B4252DC"/>
    <w:rsid w:val="4B425EFF"/>
    <w:rsid w:val="4B44740C"/>
    <w:rsid w:val="4B4630E0"/>
    <w:rsid w:val="4B46607F"/>
    <w:rsid w:val="4B46773A"/>
    <w:rsid w:val="4B4C2876"/>
    <w:rsid w:val="4B502367"/>
    <w:rsid w:val="4B505285"/>
    <w:rsid w:val="4B5732E8"/>
    <w:rsid w:val="4B5805AC"/>
    <w:rsid w:val="4B583B7E"/>
    <w:rsid w:val="4B5E7930"/>
    <w:rsid w:val="4B617C59"/>
    <w:rsid w:val="4B6422B6"/>
    <w:rsid w:val="4B6D6FE3"/>
    <w:rsid w:val="4B6E29D6"/>
    <w:rsid w:val="4B7205C1"/>
    <w:rsid w:val="4B735D98"/>
    <w:rsid w:val="4B751DCD"/>
    <w:rsid w:val="4B7630C4"/>
    <w:rsid w:val="4B773D97"/>
    <w:rsid w:val="4B7A73E4"/>
    <w:rsid w:val="4B7B137C"/>
    <w:rsid w:val="4B8169C4"/>
    <w:rsid w:val="4B83273C"/>
    <w:rsid w:val="4B837C34"/>
    <w:rsid w:val="4B845893"/>
    <w:rsid w:val="4B846991"/>
    <w:rsid w:val="4B8A71E2"/>
    <w:rsid w:val="4B8D12EE"/>
    <w:rsid w:val="4B8D35BB"/>
    <w:rsid w:val="4B8D5369"/>
    <w:rsid w:val="4B8E10E1"/>
    <w:rsid w:val="4B947B48"/>
    <w:rsid w:val="4B955BFD"/>
    <w:rsid w:val="4B9638FA"/>
    <w:rsid w:val="4B9A1834"/>
    <w:rsid w:val="4B9D627C"/>
    <w:rsid w:val="4B9F3C86"/>
    <w:rsid w:val="4BA32B1C"/>
    <w:rsid w:val="4BA34B8C"/>
    <w:rsid w:val="4BA3693A"/>
    <w:rsid w:val="4BA42FE2"/>
    <w:rsid w:val="4BA821A3"/>
    <w:rsid w:val="4BA867D6"/>
    <w:rsid w:val="4BAA4C1F"/>
    <w:rsid w:val="4BAD18FB"/>
    <w:rsid w:val="4BB360C0"/>
    <w:rsid w:val="4BB53C34"/>
    <w:rsid w:val="4BB5632A"/>
    <w:rsid w:val="4BB9615E"/>
    <w:rsid w:val="4BBA0D7E"/>
    <w:rsid w:val="4BBA7EE7"/>
    <w:rsid w:val="4BBC5C4E"/>
    <w:rsid w:val="4BBD5522"/>
    <w:rsid w:val="4BBF56CF"/>
    <w:rsid w:val="4BC220E1"/>
    <w:rsid w:val="4BC52D55"/>
    <w:rsid w:val="4BC56825"/>
    <w:rsid w:val="4BC82845"/>
    <w:rsid w:val="4BCA774F"/>
    <w:rsid w:val="4BD034A7"/>
    <w:rsid w:val="4BD13B5A"/>
    <w:rsid w:val="4BD62184"/>
    <w:rsid w:val="4BD779C1"/>
    <w:rsid w:val="4BD9458C"/>
    <w:rsid w:val="4BDC0735"/>
    <w:rsid w:val="4BDC6622"/>
    <w:rsid w:val="4BDF193C"/>
    <w:rsid w:val="4BDF6698"/>
    <w:rsid w:val="4BE13907"/>
    <w:rsid w:val="4BE27741"/>
    <w:rsid w:val="4BE34477"/>
    <w:rsid w:val="4BE60F1D"/>
    <w:rsid w:val="4BE81CC3"/>
    <w:rsid w:val="4BE86A43"/>
    <w:rsid w:val="4BE91915"/>
    <w:rsid w:val="4BF12AF5"/>
    <w:rsid w:val="4BF21670"/>
    <w:rsid w:val="4BF30412"/>
    <w:rsid w:val="4BF47196"/>
    <w:rsid w:val="4BF577C6"/>
    <w:rsid w:val="4BFA0524"/>
    <w:rsid w:val="4BFE0015"/>
    <w:rsid w:val="4C03562B"/>
    <w:rsid w:val="4C075D9B"/>
    <w:rsid w:val="4C0C00CC"/>
    <w:rsid w:val="4C0C2002"/>
    <w:rsid w:val="4C0D388F"/>
    <w:rsid w:val="4C0E1BD0"/>
    <w:rsid w:val="4C147838"/>
    <w:rsid w:val="4C1A19D6"/>
    <w:rsid w:val="4C1E2465"/>
    <w:rsid w:val="4C1E2B7F"/>
    <w:rsid w:val="4C1E4213"/>
    <w:rsid w:val="4C236A49"/>
    <w:rsid w:val="4C2518F0"/>
    <w:rsid w:val="4C251A45"/>
    <w:rsid w:val="4C256A79"/>
    <w:rsid w:val="4C2630D3"/>
    <w:rsid w:val="4C2A2297"/>
    <w:rsid w:val="4C2B6930"/>
    <w:rsid w:val="4C2C1CD9"/>
    <w:rsid w:val="4C2D08BE"/>
    <w:rsid w:val="4C331A8D"/>
    <w:rsid w:val="4C333EA2"/>
    <w:rsid w:val="4C3527FD"/>
    <w:rsid w:val="4C390E6C"/>
    <w:rsid w:val="4C392DFB"/>
    <w:rsid w:val="4C3D4352"/>
    <w:rsid w:val="4C3E4345"/>
    <w:rsid w:val="4C435C22"/>
    <w:rsid w:val="4C4418B1"/>
    <w:rsid w:val="4C4578FB"/>
    <w:rsid w:val="4C465518"/>
    <w:rsid w:val="4C494EB4"/>
    <w:rsid w:val="4C4A6566"/>
    <w:rsid w:val="4C4C506D"/>
    <w:rsid w:val="4C4D7765"/>
    <w:rsid w:val="4C4E34B4"/>
    <w:rsid w:val="4C4E5B8A"/>
    <w:rsid w:val="4C4F261E"/>
    <w:rsid w:val="4C527C04"/>
    <w:rsid w:val="4C531A7B"/>
    <w:rsid w:val="4C5365B2"/>
    <w:rsid w:val="4C5440D8"/>
    <w:rsid w:val="4C566585"/>
    <w:rsid w:val="4C590FD6"/>
    <w:rsid w:val="4C5B2BAA"/>
    <w:rsid w:val="4C5B5467"/>
    <w:rsid w:val="4C5C4C62"/>
    <w:rsid w:val="4C633F9F"/>
    <w:rsid w:val="4C64086E"/>
    <w:rsid w:val="4C644FEB"/>
    <w:rsid w:val="4C6F0F12"/>
    <w:rsid w:val="4C7145EB"/>
    <w:rsid w:val="4C72140A"/>
    <w:rsid w:val="4C740168"/>
    <w:rsid w:val="4C74222C"/>
    <w:rsid w:val="4C7649AB"/>
    <w:rsid w:val="4C765DFD"/>
    <w:rsid w:val="4C7C0749"/>
    <w:rsid w:val="4C7C323F"/>
    <w:rsid w:val="4C7C660F"/>
    <w:rsid w:val="4C7C718B"/>
    <w:rsid w:val="4C7E19EE"/>
    <w:rsid w:val="4C7E7C80"/>
    <w:rsid w:val="4C8036F5"/>
    <w:rsid w:val="4C80575E"/>
    <w:rsid w:val="4C824C3D"/>
    <w:rsid w:val="4C8524E4"/>
    <w:rsid w:val="4C8560D7"/>
    <w:rsid w:val="4C87625C"/>
    <w:rsid w:val="4C8C3872"/>
    <w:rsid w:val="4C92075D"/>
    <w:rsid w:val="4C9329D0"/>
    <w:rsid w:val="4C9862E2"/>
    <w:rsid w:val="4C997D3D"/>
    <w:rsid w:val="4C9A25B0"/>
    <w:rsid w:val="4C9C440D"/>
    <w:rsid w:val="4C9D15DC"/>
    <w:rsid w:val="4C9E15DF"/>
    <w:rsid w:val="4CA00156"/>
    <w:rsid w:val="4CA16740"/>
    <w:rsid w:val="4CA30BBC"/>
    <w:rsid w:val="4CA443D0"/>
    <w:rsid w:val="4CA478EC"/>
    <w:rsid w:val="4CA54934"/>
    <w:rsid w:val="4CA60B17"/>
    <w:rsid w:val="4CA80E21"/>
    <w:rsid w:val="4CA961D2"/>
    <w:rsid w:val="4CAA77A6"/>
    <w:rsid w:val="4CAB3B7B"/>
    <w:rsid w:val="4CAC7A71"/>
    <w:rsid w:val="4CAE1A3B"/>
    <w:rsid w:val="4CB05205"/>
    <w:rsid w:val="4CB42DC9"/>
    <w:rsid w:val="4CB50C59"/>
    <w:rsid w:val="4CB7441A"/>
    <w:rsid w:val="4CB93F3C"/>
    <w:rsid w:val="4CBA51F0"/>
    <w:rsid w:val="4CC21042"/>
    <w:rsid w:val="4CC43E58"/>
    <w:rsid w:val="4CCC1EC1"/>
    <w:rsid w:val="4CCE32BD"/>
    <w:rsid w:val="4CCF3148"/>
    <w:rsid w:val="4CD20FB4"/>
    <w:rsid w:val="4CDB0356"/>
    <w:rsid w:val="4CDF5113"/>
    <w:rsid w:val="4CE10EB8"/>
    <w:rsid w:val="4CE216E4"/>
    <w:rsid w:val="4CE42EE1"/>
    <w:rsid w:val="4CE54C13"/>
    <w:rsid w:val="4CE826DD"/>
    <w:rsid w:val="4CE967CD"/>
    <w:rsid w:val="4CED4B77"/>
    <w:rsid w:val="4CEE0089"/>
    <w:rsid w:val="4CEE0420"/>
    <w:rsid w:val="4CEF3427"/>
    <w:rsid w:val="4CEF51F5"/>
    <w:rsid w:val="4CF21F6C"/>
    <w:rsid w:val="4CF3277F"/>
    <w:rsid w:val="4CF4430B"/>
    <w:rsid w:val="4CF5766A"/>
    <w:rsid w:val="4CF65190"/>
    <w:rsid w:val="4CF67784"/>
    <w:rsid w:val="4CFB27A6"/>
    <w:rsid w:val="4CFB4554"/>
    <w:rsid w:val="4CFF1544"/>
    <w:rsid w:val="4D072EF9"/>
    <w:rsid w:val="4D0876C7"/>
    <w:rsid w:val="4D090A1F"/>
    <w:rsid w:val="4D0A29E9"/>
    <w:rsid w:val="4D0C050F"/>
    <w:rsid w:val="4D0C6EA7"/>
    <w:rsid w:val="4D0E3FC4"/>
    <w:rsid w:val="4D105959"/>
    <w:rsid w:val="4D111EA8"/>
    <w:rsid w:val="4D1129F3"/>
    <w:rsid w:val="4D145BDA"/>
    <w:rsid w:val="4D15075B"/>
    <w:rsid w:val="4D1731C1"/>
    <w:rsid w:val="4D183358"/>
    <w:rsid w:val="4D197B4E"/>
    <w:rsid w:val="4D1D756A"/>
    <w:rsid w:val="4D1E4D3B"/>
    <w:rsid w:val="4D2362D7"/>
    <w:rsid w:val="4D2717ED"/>
    <w:rsid w:val="4D297313"/>
    <w:rsid w:val="4D2976CB"/>
    <w:rsid w:val="4D2A2DD9"/>
    <w:rsid w:val="4D2A4EA9"/>
    <w:rsid w:val="4D2D2A7D"/>
    <w:rsid w:val="4D2E66D8"/>
    <w:rsid w:val="4D352670"/>
    <w:rsid w:val="4D3B1C54"/>
    <w:rsid w:val="4D3B4A55"/>
    <w:rsid w:val="4D3E2774"/>
    <w:rsid w:val="4D401A93"/>
    <w:rsid w:val="4D44414D"/>
    <w:rsid w:val="4D4952BF"/>
    <w:rsid w:val="4D4970EF"/>
    <w:rsid w:val="4D4F069E"/>
    <w:rsid w:val="4D50128D"/>
    <w:rsid w:val="4D5048A0"/>
    <w:rsid w:val="4D5C1497"/>
    <w:rsid w:val="4D5D1566"/>
    <w:rsid w:val="4D5D2FF1"/>
    <w:rsid w:val="4D5F4AE3"/>
    <w:rsid w:val="4D6125D7"/>
    <w:rsid w:val="4D616AAD"/>
    <w:rsid w:val="4D622338"/>
    <w:rsid w:val="4D6420F9"/>
    <w:rsid w:val="4D6431F7"/>
    <w:rsid w:val="4D660035"/>
    <w:rsid w:val="4D68564F"/>
    <w:rsid w:val="4D697710"/>
    <w:rsid w:val="4D6B3488"/>
    <w:rsid w:val="4D6E0AC0"/>
    <w:rsid w:val="4D6E3F43"/>
    <w:rsid w:val="4D6E5AD7"/>
    <w:rsid w:val="4D707900"/>
    <w:rsid w:val="4D711896"/>
    <w:rsid w:val="4D7175F8"/>
    <w:rsid w:val="4D722A68"/>
    <w:rsid w:val="4D77007F"/>
    <w:rsid w:val="4D7720F5"/>
    <w:rsid w:val="4D7D4D16"/>
    <w:rsid w:val="4D7D669E"/>
    <w:rsid w:val="4D7E362F"/>
    <w:rsid w:val="4D812CAB"/>
    <w:rsid w:val="4D834345"/>
    <w:rsid w:val="4D841811"/>
    <w:rsid w:val="4D8471DD"/>
    <w:rsid w:val="4D875DE8"/>
    <w:rsid w:val="4D891B60"/>
    <w:rsid w:val="4D8B3B2A"/>
    <w:rsid w:val="4D8C1650"/>
    <w:rsid w:val="4D8C700B"/>
    <w:rsid w:val="4D8E1337"/>
    <w:rsid w:val="4D8F285F"/>
    <w:rsid w:val="4D9329DF"/>
    <w:rsid w:val="4D98290F"/>
    <w:rsid w:val="4D9A3D6D"/>
    <w:rsid w:val="4D9A5B1B"/>
    <w:rsid w:val="4D9C5D37"/>
    <w:rsid w:val="4D9D385D"/>
    <w:rsid w:val="4D9D560B"/>
    <w:rsid w:val="4D9E508F"/>
    <w:rsid w:val="4D9F75D5"/>
    <w:rsid w:val="4D9F77E8"/>
    <w:rsid w:val="4DA42E3E"/>
    <w:rsid w:val="4DA4313E"/>
    <w:rsid w:val="4DA5006D"/>
    <w:rsid w:val="4DA644C0"/>
    <w:rsid w:val="4DAA7D92"/>
    <w:rsid w:val="4DAE7818"/>
    <w:rsid w:val="4DB12E65"/>
    <w:rsid w:val="4DB841F3"/>
    <w:rsid w:val="4DB9129B"/>
    <w:rsid w:val="4DBA7DF1"/>
    <w:rsid w:val="4DBD1C3B"/>
    <w:rsid w:val="4DBD2081"/>
    <w:rsid w:val="4DBE3EFF"/>
    <w:rsid w:val="4DBF7FB1"/>
    <w:rsid w:val="4DC114CC"/>
    <w:rsid w:val="4DC228C5"/>
    <w:rsid w:val="4DC40DEA"/>
    <w:rsid w:val="4DC441A7"/>
    <w:rsid w:val="4DC64B62"/>
    <w:rsid w:val="4DCB2178"/>
    <w:rsid w:val="4DCE0278"/>
    <w:rsid w:val="4DD07ED9"/>
    <w:rsid w:val="4DD51249"/>
    <w:rsid w:val="4DDB2226"/>
    <w:rsid w:val="4DDE00FE"/>
    <w:rsid w:val="4DE50D12"/>
    <w:rsid w:val="4DE82697"/>
    <w:rsid w:val="4DE90294"/>
    <w:rsid w:val="4DEB0272"/>
    <w:rsid w:val="4DEB55B9"/>
    <w:rsid w:val="4DEE24DB"/>
    <w:rsid w:val="4DEE5E67"/>
    <w:rsid w:val="4DF00E11"/>
    <w:rsid w:val="4DF711BF"/>
    <w:rsid w:val="4DF83CF0"/>
    <w:rsid w:val="4DF9432A"/>
    <w:rsid w:val="4DF94F37"/>
    <w:rsid w:val="4DF96CE5"/>
    <w:rsid w:val="4DFA18F4"/>
    <w:rsid w:val="4DFE0819"/>
    <w:rsid w:val="4DFF41A5"/>
    <w:rsid w:val="4E01203E"/>
    <w:rsid w:val="4E061942"/>
    <w:rsid w:val="4E065451"/>
    <w:rsid w:val="4E141D71"/>
    <w:rsid w:val="4E1420A6"/>
    <w:rsid w:val="4E1753BE"/>
    <w:rsid w:val="4E17716C"/>
    <w:rsid w:val="4E1C4782"/>
    <w:rsid w:val="4E1D1107"/>
    <w:rsid w:val="4E20187A"/>
    <w:rsid w:val="4E21448E"/>
    <w:rsid w:val="4E22065A"/>
    <w:rsid w:val="4E251ABD"/>
    <w:rsid w:val="4E255D2C"/>
    <w:rsid w:val="4E28581D"/>
    <w:rsid w:val="4E2A50F1"/>
    <w:rsid w:val="4E2B4E45"/>
    <w:rsid w:val="4E2F0959"/>
    <w:rsid w:val="4E2F6BAB"/>
    <w:rsid w:val="4E312DAF"/>
    <w:rsid w:val="4E353158"/>
    <w:rsid w:val="4E360855"/>
    <w:rsid w:val="4E3715BC"/>
    <w:rsid w:val="4E375DB8"/>
    <w:rsid w:val="4E383D46"/>
    <w:rsid w:val="4E3E47F4"/>
    <w:rsid w:val="4E404914"/>
    <w:rsid w:val="4E404DA6"/>
    <w:rsid w:val="4E406F98"/>
    <w:rsid w:val="4E424295"/>
    <w:rsid w:val="4E4652F7"/>
    <w:rsid w:val="4E4B6D43"/>
    <w:rsid w:val="4E4F4B57"/>
    <w:rsid w:val="4E516B22"/>
    <w:rsid w:val="4E536581"/>
    <w:rsid w:val="4E5541CA"/>
    <w:rsid w:val="4E577EB0"/>
    <w:rsid w:val="4E595C76"/>
    <w:rsid w:val="4E5F434A"/>
    <w:rsid w:val="4E66296D"/>
    <w:rsid w:val="4E66324D"/>
    <w:rsid w:val="4E685C19"/>
    <w:rsid w:val="4E6C5709"/>
    <w:rsid w:val="4E6F59F8"/>
    <w:rsid w:val="4E700B69"/>
    <w:rsid w:val="4E701753"/>
    <w:rsid w:val="4E7039CC"/>
    <w:rsid w:val="4E712D20"/>
    <w:rsid w:val="4E735351"/>
    <w:rsid w:val="4E7855F0"/>
    <w:rsid w:val="4E791BD4"/>
    <w:rsid w:val="4E796078"/>
    <w:rsid w:val="4E812399"/>
    <w:rsid w:val="4E824F2D"/>
    <w:rsid w:val="4E850579"/>
    <w:rsid w:val="4E8567CB"/>
    <w:rsid w:val="4E872543"/>
    <w:rsid w:val="4E8803F7"/>
    <w:rsid w:val="4E896998"/>
    <w:rsid w:val="4E8B1908"/>
    <w:rsid w:val="4E8D38D2"/>
    <w:rsid w:val="4E9133C2"/>
    <w:rsid w:val="4E917953"/>
    <w:rsid w:val="4E944244"/>
    <w:rsid w:val="4E950693"/>
    <w:rsid w:val="4E995BFE"/>
    <w:rsid w:val="4E9F017F"/>
    <w:rsid w:val="4EA604F0"/>
    <w:rsid w:val="4EA76741"/>
    <w:rsid w:val="4EA9246E"/>
    <w:rsid w:val="4EA95533"/>
    <w:rsid w:val="4EAC34AA"/>
    <w:rsid w:val="4EAE3E4F"/>
    <w:rsid w:val="4EB01936"/>
    <w:rsid w:val="4EB0646C"/>
    <w:rsid w:val="4EB15812"/>
    <w:rsid w:val="4EB250DD"/>
    <w:rsid w:val="4EB519C6"/>
    <w:rsid w:val="4EB62AD4"/>
    <w:rsid w:val="4EB6779C"/>
    <w:rsid w:val="4EB743A9"/>
    <w:rsid w:val="4EB763F7"/>
    <w:rsid w:val="4EB94014"/>
    <w:rsid w:val="4EB96475"/>
    <w:rsid w:val="4EC05A55"/>
    <w:rsid w:val="4EC2567F"/>
    <w:rsid w:val="4EC866B8"/>
    <w:rsid w:val="4ECA68D4"/>
    <w:rsid w:val="4ECA741E"/>
    <w:rsid w:val="4ECF6052"/>
    <w:rsid w:val="4ECF7A46"/>
    <w:rsid w:val="4ED60DD5"/>
    <w:rsid w:val="4ED71923"/>
    <w:rsid w:val="4EDC1DC6"/>
    <w:rsid w:val="4EE334F2"/>
    <w:rsid w:val="4EE722C0"/>
    <w:rsid w:val="4EE72FE2"/>
    <w:rsid w:val="4EE92B44"/>
    <w:rsid w:val="4EEC23A6"/>
    <w:rsid w:val="4EEC73D3"/>
    <w:rsid w:val="4EF10E1A"/>
    <w:rsid w:val="4EF157D5"/>
    <w:rsid w:val="4EF23735"/>
    <w:rsid w:val="4EF26272"/>
    <w:rsid w:val="4EF44A0D"/>
    <w:rsid w:val="4EF851EF"/>
    <w:rsid w:val="4EF86CC0"/>
    <w:rsid w:val="4EFB3A55"/>
    <w:rsid w:val="4EFD1168"/>
    <w:rsid w:val="4F0132BA"/>
    <w:rsid w:val="4F027E1C"/>
    <w:rsid w:val="4F043B94"/>
    <w:rsid w:val="4F051758"/>
    <w:rsid w:val="4F075432"/>
    <w:rsid w:val="4F0771E0"/>
    <w:rsid w:val="4F090C23"/>
    <w:rsid w:val="4F0A6F17"/>
    <w:rsid w:val="4F0B3174"/>
    <w:rsid w:val="4F0B3496"/>
    <w:rsid w:val="4F0E056F"/>
    <w:rsid w:val="4F0E4A13"/>
    <w:rsid w:val="4F0E76C6"/>
    <w:rsid w:val="4F0F2539"/>
    <w:rsid w:val="4F116436"/>
    <w:rsid w:val="4F116CB4"/>
    <w:rsid w:val="4F155DA1"/>
    <w:rsid w:val="4F1638C7"/>
    <w:rsid w:val="4F1836C5"/>
    <w:rsid w:val="4F195165"/>
    <w:rsid w:val="4F1A53B0"/>
    <w:rsid w:val="4F1B07EA"/>
    <w:rsid w:val="4F1C072B"/>
    <w:rsid w:val="4F1C1112"/>
    <w:rsid w:val="4F1D2EA8"/>
    <w:rsid w:val="4F1D618C"/>
    <w:rsid w:val="4F1D714E"/>
    <w:rsid w:val="4F201376"/>
    <w:rsid w:val="4F2117B1"/>
    <w:rsid w:val="4F21501A"/>
    <w:rsid w:val="4F253B0A"/>
    <w:rsid w:val="4F29240B"/>
    <w:rsid w:val="4F2A2ECF"/>
    <w:rsid w:val="4F2D6F35"/>
    <w:rsid w:val="4F2E29BF"/>
    <w:rsid w:val="4F2E6E63"/>
    <w:rsid w:val="4F2F1960"/>
    <w:rsid w:val="4F2F4D96"/>
    <w:rsid w:val="4F2F6737"/>
    <w:rsid w:val="4F310701"/>
    <w:rsid w:val="4F32410B"/>
    <w:rsid w:val="4F33572D"/>
    <w:rsid w:val="4F345F30"/>
    <w:rsid w:val="4F353198"/>
    <w:rsid w:val="4F36771D"/>
    <w:rsid w:val="4F376E91"/>
    <w:rsid w:val="4F391364"/>
    <w:rsid w:val="4F3A01B4"/>
    <w:rsid w:val="4F3D2C02"/>
    <w:rsid w:val="4F3F1455"/>
    <w:rsid w:val="4F3F6884"/>
    <w:rsid w:val="4F422F15"/>
    <w:rsid w:val="4F423C68"/>
    <w:rsid w:val="4F435049"/>
    <w:rsid w:val="4F451AFA"/>
    <w:rsid w:val="4F455F64"/>
    <w:rsid w:val="4F464194"/>
    <w:rsid w:val="4F4876F7"/>
    <w:rsid w:val="4F4A3571"/>
    <w:rsid w:val="4F4D763B"/>
    <w:rsid w:val="4F4E4E0F"/>
    <w:rsid w:val="4F4E5DCE"/>
    <w:rsid w:val="4F50445B"/>
    <w:rsid w:val="4F5064E9"/>
    <w:rsid w:val="4F511BAF"/>
    <w:rsid w:val="4F532425"/>
    <w:rsid w:val="4F543BE7"/>
    <w:rsid w:val="4F566BDA"/>
    <w:rsid w:val="4F5A4DB7"/>
    <w:rsid w:val="4F5F0DCA"/>
    <w:rsid w:val="4F617A80"/>
    <w:rsid w:val="4F6825B6"/>
    <w:rsid w:val="4F686A0D"/>
    <w:rsid w:val="4F6936A6"/>
    <w:rsid w:val="4F6A776F"/>
    <w:rsid w:val="4F6E5CC0"/>
    <w:rsid w:val="4F6F4D85"/>
    <w:rsid w:val="4F714FA1"/>
    <w:rsid w:val="4F797029"/>
    <w:rsid w:val="4F7E4024"/>
    <w:rsid w:val="4F871ED9"/>
    <w:rsid w:val="4F8922EB"/>
    <w:rsid w:val="4F8C0AA7"/>
    <w:rsid w:val="4F8E4EF7"/>
    <w:rsid w:val="4F9408D1"/>
    <w:rsid w:val="4F960564"/>
    <w:rsid w:val="4F9D1AB0"/>
    <w:rsid w:val="4FA168CA"/>
    <w:rsid w:val="4FA43ECF"/>
    <w:rsid w:val="4FA669F9"/>
    <w:rsid w:val="4FAD259B"/>
    <w:rsid w:val="4FAE2DF6"/>
    <w:rsid w:val="4FB059BA"/>
    <w:rsid w:val="4FB14D95"/>
    <w:rsid w:val="4FB1539E"/>
    <w:rsid w:val="4FB52F12"/>
    <w:rsid w:val="4FB6081B"/>
    <w:rsid w:val="4FB6268B"/>
    <w:rsid w:val="4FB629B4"/>
    <w:rsid w:val="4FB80BCC"/>
    <w:rsid w:val="4FBA368E"/>
    <w:rsid w:val="4FBA7FCE"/>
    <w:rsid w:val="4FBC2ADC"/>
    <w:rsid w:val="4FBC6550"/>
    <w:rsid w:val="4FBC714F"/>
    <w:rsid w:val="4FBF3F5F"/>
    <w:rsid w:val="4FC2195A"/>
    <w:rsid w:val="4FC450D1"/>
    <w:rsid w:val="4FC74BC1"/>
    <w:rsid w:val="4FD02552"/>
    <w:rsid w:val="4FD10302"/>
    <w:rsid w:val="4FD23C92"/>
    <w:rsid w:val="4FD32E26"/>
    <w:rsid w:val="4FD3441C"/>
    <w:rsid w:val="4FD53792"/>
    <w:rsid w:val="4FD57F64"/>
    <w:rsid w:val="4FD67E8F"/>
    <w:rsid w:val="4FD86DCF"/>
    <w:rsid w:val="4FDA7B67"/>
    <w:rsid w:val="4FDC066D"/>
    <w:rsid w:val="4FE13ED5"/>
    <w:rsid w:val="4FE33FC2"/>
    <w:rsid w:val="4FE428E7"/>
    <w:rsid w:val="4FE6773D"/>
    <w:rsid w:val="4FE746F8"/>
    <w:rsid w:val="4FE972C6"/>
    <w:rsid w:val="4FEA5B24"/>
    <w:rsid w:val="4FEB4D54"/>
    <w:rsid w:val="4FEE66EB"/>
    <w:rsid w:val="4FF0216C"/>
    <w:rsid w:val="4FF04118"/>
    <w:rsid w:val="4FF260E2"/>
    <w:rsid w:val="4FF34A9B"/>
    <w:rsid w:val="4FF43C08"/>
    <w:rsid w:val="4FF551A0"/>
    <w:rsid w:val="4FF606E8"/>
    <w:rsid w:val="4FF60E9F"/>
    <w:rsid w:val="4FF754A7"/>
    <w:rsid w:val="4FF97F40"/>
    <w:rsid w:val="4FFA0771"/>
    <w:rsid w:val="4FFA6D45"/>
    <w:rsid w:val="4FFC0D0F"/>
    <w:rsid w:val="4FFD15ED"/>
    <w:rsid w:val="500233EE"/>
    <w:rsid w:val="500253A7"/>
    <w:rsid w:val="500303DF"/>
    <w:rsid w:val="500430DB"/>
    <w:rsid w:val="50057AD7"/>
    <w:rsid w:val="500656EA"/>
    <w:rsid w:val="500B2D00"/>
    <w:rsid w:val="500D481B"/>
    <w:rsid w:val="500E11DE"/>
    <w:rsid w:val="50127AF1"/>
    <w:rsid w:val="50146465"/>
    <w:rsid w:val="5016629E"/>
    <w:rsid w:val="501716A5"/>
    <w:rsid w:val="50175B49"/>
    <w:rsid w:val="5019541D"/>
    <w:rsid w:val="501A73E7"/>
    <w:rsid w:val="501D0AF0"/>
    <w:rsid w:val="5024648B"/>
    <w:rsid w:val="50250266"/>
    <w:rsid w:val="50260741"/>
    <w:rsid w:val="50267978"/>
    <w:rsid w:val="50283185"/>
    <w:rsid w:val="502A14DF"/>
    <w:rsid w:val="502E3F4E"/>
    <w:rsid w:val="50310628"/>
    <w:rsid w:val="5033289C"/>
    <w:rsid w:val="5036629B"/>
    <w:rsid w:val="5038544E"/>
    <w:rsid w:val="50386682"/>
    <w:rsid w:val="503867AF"/>
    <w:rsid w:val="503B1F0D"/>
    <w:rsid w:val="503E1327"/>
    <w:rsid w:val="503E6C32"/>
    <w:rsid w:val="503F5B45"/>
    <w:rsid w:val="50412BC6"/>
    <w:rsid w:val="50425BA2"/>
    <w:rsid w:val="504601DC"/>
    <w:rsid w:val="50483F54"/>
    <w:rsid w:val="504860CC"/>
    <w:rsid w:val="504F7091"/>
    <w:rsid w:val="505446A7"/>
    <w:rsid w:val="505A06D8"/>
    <w:rsid w:val="505A2D50"/>
    <w:rsid w:val="505C3DBD"/>
    <w:rsid w:val="505E1082"/>
    <w:rsid w:val="505F5460"/>
    <w:rsid w:val="506144BE"/>
    <w:rsid w:val="50616E5B"/>
    <w:rsid w:val="5062274E"/>
    <w:rsid w:val="50642410"/>
    <w:rsid w:val="506518C7"/>
    <w:rsid w:val="50680152"/>
    <w:rsid w:val="50691616"/>
    <w:rsid w:val="506A3EEB"/>
    <w:rsid w:val="50707007"/>
    <w:rsid w:val="50722D7F"/>
    <w:rsid w:val="50744D49"/>
    <w:rsid w:val="50760AC1"/>
    <w:rsid w:val="507754B5"/>
    <w:rsid w:val="50795E64"/>
    <w:rsid w:val="507C3BFE"/>
    <w:rsid w:val="50827EE5"/>
    <w:rsid w:val="50890BED"/>
    <w:rsid w:val="50892D9D"/>
    <w:rsid w:val="508C1DCB"/>
    <w:rsid w:val="508D5E0B"/>
    <w:rsid w:val="508D7BB9"/>
    <w:rsid w:val="508F56DF"/>
    <w:rsid w:val="50900A3A"/>
    <w:rsid w:val="50917A9E"/>
    <w:rsid w:val="50940F47"/>
    <w:rsid w:val="50942E30"/>
    <w:rsid w:val="50970A38"/>
    <w:rsid w:val="509B0528"/>
    <w:rsid w:val="509E1DC6"/>
    <w:rsid w:val="50B138A7"/>
    <w:rsid w:val="50B25281"/>
    <w:rsid w:val="50B52C6C"/>
    <w:rsid w:val="50B82D80"/>
    <w:rsid w:val="50B9275C"/>
    <w:rsid w:val="50B93F87"/>
    <w:rsid w:val="50BB55BE"/>
    <w:rsid w:val="50BC7CAB"/>
    <w:rsid w:val="50C30551"/>
    <w:rsid w:val="50C44BD5"/>
    <w:rsid w:val="50C55FDC"/>
    <w:rsid w:val="50C7465D"/>
    <w:rsid w:val="50C875E6"/>
    <w:rsid w:val="50CD2020"/>
    <w:rsid w:val="50CF70D7"/>
    <w:rsid w:val="50D15CF8"/>
    <w:rsid w:val="50D276C4"/>
    <w:rsid w:val="50D650BC"/>
    <w:rsid w:val="50D91050"/>
    <w:rsid w:val="50DD469C"/>
    <w:rsid w:val="50DE5638"/>
    <w:rsid w:val="50DE6667"/>
    <w:rsid w:val="50E05F3B"/>
    <w:rsid w:val="50E62941"/>
    <w:rsid w:val="50E7376D"/>
    <w:rsid w:val="50EC48E0"/>
    <w:rsid w:val="50EF1F1E"/>
    <w:rsid w:val="50EF5604"/>
    <w:rsid w:val="50F6750C"/>
    <w:rsid w:val="50F87728"/>
    <w:rsid w:val="50F96FFC"/>
    <w:rsid w:val="50FB2D75"/>
    <w:rsid w:val="50FC37C6"/>
    <w:rsid w:val="50FE0AB7"/>
    <w:rsid w:val="50FE2865"/>
    <w:rsid w:val="50FF0F5B"/>
    <w:rsid w:val="50FF279A"/>
    <w:rsid w:val="51022209"/>
    <w:rsid w:val="5103103E"/>
    <w:rsid w:val="51041026"/>
    <w:rsid w:val="51071719"/>
    <w:rsid w:val="510734C7"/>
    <w:rsid w:val="510E46E2"/>
    <w:rsid w:val="510F0E13"/>
    <w:rsid w:val="51104B0A"/>
    <w:rsid w:val="511B3417"/>
    <w:rsid w:val="511E4FC0"/>
    <w:rsid w:val="512555A3"/>
    <w:rsid w:val="51256043"/>
    <w:rsid w:val="51275918"/>
    <w:rsid w:val="512775AA"/>
    <w:rsid w:val="512B2489"/>
    <w:rsid w:val="512C31ED"/>
    <w:rsid w:val="512C45F2"/>
    <w:rsid w:val="512D5080"/>
    <w:rsid w:val="51302432"/>
    <w:rsid w:val="51314129"/>
    <w:rsid w:val="51346287"/>
    <w:rsid w:val="513A1AEF"/>
    <w:rsid w:val="513A50B4"/>
    <w:rsid w:val="513B3D88"/>
    <w:rsid w:val="513D5CA5"/>
    <w:rsid w:val="513F5357"/>
    <w:rsid w:val="51404C2B"/>
    <w:rsid w:val="5141667E"/>
    <w:rsid w:val="514865B4"/>
    <w:rsid w:val="514E3168"/>
    <w:rsid w:val="514E4F6A"/>
    <w:rsid w:val="514F05C7"/>
    <w:rsid w:val="51511D4E"/>
    <w:rsid w:val="51525A50"/>
    <w:rsid w:val="515406D7"/>
    <w:rsid w:val="51595CF0"/>
    <w:rsid w:val="515B0E34"/>
    <w:rsid w:val="515D6BD3"/>
    <w:rsid w:val="515E50B1"/>
    <w:rsid w:val="515F3359"/>
    <w:rsid w:val="51600E2A"/>
    <w:rsid w:val="51611B07"/>
    <w:rsid w:val="51620E39"/>
    <w:rsid w:val="5162399F"/>
    <w:rsid w:val="5164245D"/>
    <w:rsid w:val="51661864"/>
    <w:rsid w:val="5167040A"/>
    <w:rsid w:val="51675618"/>
    <w:rsid w:val="51687E98"/>
    <w:rsid w:val="516A1CA8"/>
    <w:rsid w:val="516A7EFA"/>
    <w:rsid w:val="516B2219"/>
    <w:rsid w:val="516C3C72"/>
    <w:rsid w:val="516E158F"/>
    <w:rsid w:val="51730B5D"/>
    <w:rsid w:val="517448D5"/>
    <w:rsid w:val="517843C5"/>
    <w:rsid w:val="517A4018"/>
    <w:rsid w:val="517B24F7"/>
    <w:rsid w:val="517B5EBA"/>
    <w:rsid w:val="517C4754"/>
    <w:rsid w:val="518014CC"/>
    <w:rsid w:val="5180305A"/>
    <w:rsid w:val="51863F43"/>
    <w:rsid w:val="518770E2"/>
    <w:rsid w:val="51894111"/>
    <w:rsid w:val="518C73E6"/>
    <w:rsid w:val="518C7E71"/>
    <w:rsid w:val="518E3BE9"/>
    <w:rsid w:val="518E5997"/>
    <w:rsid w:val="518E70C9"/>
    <w:rsid w:val="518F33C5"/>
    <w:rsid w:val="51912362"/>
    <w:rsid w:val="51944DD0"/>
    <w:rsid w:val="519531C9"/>
    <w:rsid w:val="519571AC"/>
    <w:rsid w:val="5198433B"/>
    <w:rsid w:val="5198451A"/>
    <w:rsid w:val="51990B06"/>
    <w:rsid w:val="519A5975"/>
    <w:rsid w:val="519B03FC"/>
    <w:rsid w:val="519E169F"/>
    <w:rsid w:val="51A02F56"/>
    <w:rsid w:val="51A72979"/>
    <w:rsid w:val="51A72EFC"/>
    <w:rsid w:val="51A746AD"/>
    <w:rsid w:val="51A97665"/>
    <w:rsid w:val="51AA1F47"/>
    <w:rsid w:val="51AE7402"/>
    <w:rsid w:val="51AE7DE7"/>
    <w:rsid w:val="51B113BA"/>
    <w:rsid w:val="51B174A8"/>
    <w:rsid w:val="51B353FD"/>
    <w:rsid w:val="51B52DC2"/>
    <w:rsid w:val="51B87346"/>
    <w:rsid w:val="51BA678C"/>
    <w:rsid w:val="51BD002A"/>
    <w:rsid w:val="51C01D00"/>
    <w:rsid w:val="51C07B1A"/>
    <w:rsid w:val="51C23892"/>
    <w:rsid w:val="51C70B8B"/>
    <w:rsid w:val="51C93FD6"/>
    <w:rsid w:val="51C95AC9"/>
    <w:rsid w:val="51CA699D"/>
    <w:rsid w:val="51CE2237"/>
    <w:rsid w:val="51D35A9F"/>
    <w:rsid w:val="51D535C6"/>
    <w:rsid w:val="51D830B6"/>
    <w:rsid w:val="51D950B7"/>
    <w:rsid w:val="51DB6702"/>
    <w:rsid w:val="51DD247A"/>
    <w:rsid w:val="51DF4FB6"/>
    <w:rsid w:val="51E02C60"/>
    <w:rsid w:val="51E06A18"/>
    <w:rsid w:val="51E51241"/>
    <w:rsid w:val="51E9028C"/>
    <w:rsid w:val="51EE4687"/>
    <w:rsid w:val="51EE60C1"/>
    <w:rsid w:val="51F2531B"/>
    <w:rsid w:val="51F779E0"/>
    <w:rsid w:val="51FC6BF8"/>
    <w:rsid w:val="51FE58FB"/>
    <w:rsid w:val="52081BED"/>
    <w:rsid w:val="520A3281"/>
    <w:rsid w:val="520B211D"/>
    <w:rsid w:val="520E1F42"/>
    <w:rsid w:val="52144C05"/>
    <w:rsid w:val="52157E66"/>
    <w:rsid w:val="521974EC"/>
    <w:rsid w:val="521F52AE"/>
    <w:rsid w:val="5220438A"/>
    <w:rsid w:val="5222538D"/>
    <w:rsid w:val="52250313"/>
    <w:rsid w:val="52270BF6"/>
    <w:rsid w:val="52285DEB"/>
    <w:rsid w:val="52291B63"/>
    <w:rsid w:val="52292A09"/>
    <w:rsid w:val="522B1438"/>
    <w:rsid w:val="522D3402"/>
    <w:rsid w:val="522E1C5B"/>
    <w:rsid w:val="522F0064"/>
    <w:rsid w:val="5231233C"/>
    <w:rsid w:val="523336B1"/>
    <w:rsid w:val="52334D32"/>
    <w:rsid w:val="5237602E"/>
    <w:rsid w:val="52393E48"/>
    <w:rsid w:val="523B0429"/>
    <w:rsid w:val="523C5624"/>
    <w:rsid w:val="523E4A26"/>
    <w:rsid w:val="523F1387"/>
    <w:rsid w:val="523F4EE3"/>
    <w:rsid w:val="52403C5C"/>
    <w:rsid w:val="52410C5B"/>
    <w:rsid w:val="52411F6D"/>
    <w:rsid w:val="524157D7"/>
    <w:rsid w:val="524424F9"/>
    <w:rsid w:val="5248023B"/>
    <w:rsid w:val="524B1ADA"/>
    <w:rsid w:val="524C63DF"/>
    <w:rsid w:val="524D13AE"/>
    <w:rsid w:val="524E3378"/>
    <w:rsid w:val="52505342"/>
    <w:rsid w:val="52505EA5"/>
    <w:rsid w:val="52554A37"/>
    <w:rsid w:val="525A65CF"/>
    <w:rsid w:val="525C5A95"/>
    <w:rsid w:val="525D240D"/>
    <w:rsid w:val="52642B9B"/>
    <w:rsid w:val="526772E0"/>
    <w:rsid w:val="526A50EF"/>
    <w:rsid w:val="526B1E89"/>
    <w:rsid w:val="52701540"/>
    <w:rsid w:val="52723BA8"/>
    <w:rsid w:val="52727066"/>
    <w:rsid w:val="52742DDF"/>
    <w:rsid w:val="52745EF2"/>
    <w:rsid w:val="52752068"/>
    <w:rsid w:val="527A07A3"/>
    <w:rsid w:val="527A4117"/>
    <w:rsid w:val="527A416D"/>
    <w:rsid w:val="527C6137"/>
    <w:rsid w:val="527F2C6A"/>
    <w:rsid w:val="5282650A"/>
    <w:rsid w:val="528273E9"/>
    <w:rsid w:val="52836B4A"/>
    <w:rsid w:val="528A65D0"/>
    <w:rsid w:val="528B623D"/>
    <w:rsid w:val="528C4D2C"/>
    <w:rsid w:val="528D20F2"/>
    <w:rsid w:val="528D34A1"/>
    <w:rsid w:val="528E38ED"/>
    <w:rsid w:val="52906B5B"/>
    <w:rsid w:val="529301DC"/>
    <w:rsid w:val="52961FB4"/>
    <w:rsid w:val="52987E9B"/>
    <w:rsid w:val="529A036B"/>
    <w:rsid w:val="529B480F"/>
    <w:rsid w:val="52A35472"/>
    <w:rsid w:val="52A70604"/>
    <w:rsid w:val="52AB17BB"/>
    <w:rsid w:val="52AD009F"/>
    <w:rsid w:val="52AF02BB"/>
    <w:rsid w:val="52B256B5"/>
    <w:rsid w:val="52B53329"/>
    <w:rsid w:val="52B633F7"/>
    <w:rsid w:val="52B70F1D"/>
    <w:rsid w:val="52B749A8"/>
    <w:rsid w:val="52BB4769"/>
    <w:rsid w:val="52BD60EB"/>
    <w:rsid w:val="52BE22AC"/>
    <w:rsid w:val="52BE3DE6"/>
    <w:rsid w:val="52C04276"/>
    <w:rsid w:val="52C06024"/>
    <w:rsid w:val="52C11D9C"/>
    <w:rsid w:val="52C21E54"/>
    <w:rsid w:val="52C24AE5"/>
    <w:rsid w:val="52C75604"/>
    <w:rsid w:val="52CA50F4"/>
    <w:rsid w:val="52CC2CFB"/>
    <w:rsid w:val="52CE0908"/>
    <w:rsid w:val="52CF3E41"/>
    <w:rsid w:val="52D64ABA"/>
    <w:rsid w:val="52DC6BD6"/>
    <w:rsid w:val="52DD7FAF"/>
    <w:rsid w:val="52E00F1E"/>
    <w:rsid w:val="52E31D12"/>
    <w:rsid w:val="52E45EE5"/>
    <w:rsid w:val="52E531A3"/>
    <w:rsid w:val="52E635B0"/>
    <w:rsid w:val="52E801CF"/>
    <w:rsid w:val="52EA0AEC"/>
    <w:rsid w:val="52EE5ABD"/>
    <w:rsid w:val="52F7126F"/>
    <w:rsid w:val="52F80857"/>
    <w:rsid w:val="52FB3A41"/>
    <w:rsid w:val="52FC4B82"/>
    <w:rsid w:val="52FE08FA"/>
    <w:rsid w:val="52FF2172"/>
    <w:rsid w:val="530103EA"/>
    <w:rsid w:val="53030EAB"/>
    <w:rsid w:val="53052BAC"/>
    <w:rsid w:val="53057EDB"/>
    <w:rsid w:val="53065322"/>
    <w:rsid w:val="530910DF"/>
    <w:rsid w:val="530B03F2"/>
    <w:rsid w:val="530F48B5"/>
    <w:rsid w:val="53143D29"/>
    <w:rsid w:val="531620E8"/>
    <w:rsid w:val="53165C44"/>
    <w:rsid w:val="531711BB"/>
    <w:rsid w:val="53172865"/>
    <w:rsid w:val="53177C0E"/>
    <w:rsid w:val="531E2D4A"/>
    <w:rsid w:val="531E3CC1"/>
    <w:rsid w:val="531F3D3B"/>
    <w:rsid w:val="53230361"/>
    <w:rsid w:val="532972A8"/>
    <w:rsid w:val="532A16EF"/>
    <w:rsid w:val="532E3B04"/>
    <w:rsid w:val="532F6D06"/>
    <w:rsid w:val="532F7E57"/>
    <w:rsid w:val="5332270E"/>
    <w:rsid w:val="53326F35"/>
    <w:rsid w:val="53327042"/>
    <w:rsid w:val="533407C0"/>
    <w:rsid w:val="533B173C"/>
    <w:rsid w:val="533E48A7"/>
    <w:rsid w:val="53403903"/>
    <w:rsid w:val="53405ED3"/>
    <w:rsid w:val="5342371F"/>
    <w:rsid w:val="53432EE8"/>
    <w:rsid w:val="53444EFB"/>
    <w:rsid w:val="53486019"/>
    <w:rsid w:val="534A3B3F"/>
    <w:rsid w:val="534D1DCC"/>
    <w:rsid w:val="534E30D5"/>
    <w:rsid w:val="53530C46"/>
    <w:rsid w:val="5357743E"/>
    <w:rsid w:val="535A6478"/>
    <w:rsid w:val="535B18E7"/>
    <w:rsid w:val="535F3A8F"/>
    <w:rsid w:val="536015B5"/>
    <w:rsid w:val="53624E0A"/>
    <w:rsid w:val="53631AF0"/>
    <w:rsid w:val="53642E53"/>
    <w:rsid w:val="536A28D2"/>
    <w:rsid w:val="536C1D08"/>
    <w:rsid w:val="536C4655"/>
    <w:rsid w:val="536E23DD"/>
    <w:rsid w:val="536E3CD2"/>
    <w:rsid w:val="536F0959"/>
    <w:rsid w:val="536F2079"/>
    <w:rsid w:val="53743643"/>
    <w:rsid w:val="537806AC"/>
    <w:rsid w:val="53787030"/>
    <w:rsid w:val="53794425"/>
    <w:rsid w:val="537D2167"/>
    <w:rsid w:val="537D5CC3"/>
    <w:rsid w:val="53812D8E"/>
    <w:rsid w:val="53837051"/>
    <w:rsid w:val="53837B15"/>
    <w:rsid w:val="53852DC9"/>
    <w:rsid w:val="538A1445"/>
    <w:rsid w:val="538A7BA8"/>
    <w:rsid w:val="538F59F6"/>
    <w:rsid w:val="539179C0"/>
    <w:rsid w:val="539330E1"/>
    <w:rsid w:val="53933C38"/>
    <w:rsid w:val="539A6875"/>
    <w:rsid w:val="539B083F"/>
    <w:rsid w:val="539B25ED"/>
    <w:rsid w:val="539F3E56"/>
    <w:rsid w:val="53A10374"/>
    <w:rsid w:val="53A23FC9"/>
    <w:rsid w:val="53A33978"/>
    <w:rsid w:val="53A71BA6"/>
    <w:rsid w:val="53A74C1E"/>
    <w:rsid w:val="53A87476"/>
    <w:rsid w:val="53AD039C"/>
    <w:rsid w:val="53AE6D94"/>
    <w:rsid w:val="53B01177"/>
    <w:rsid w:val="53B036A6"/>
    <w:rsid w:val="53B15383"/>
    <w:rsid w:val="53B4545D"/>
    <w:rsid w:val="53BC2C8F"/>
    <w:rsid w:val="53BD6A07"/>
    <w:rsid w:val="53BE72A0"/>
    <w:rsid w:val="53C940CD"/>
    <w:rsid w:val="53CA1133"/>
    <w:rsid w:val="53CA7004"/>
    <w:rsid w:val="53CF12BA"/>
    <w:rsid w:val="53D0673A"/>
    <w:rsid w:val="53D1600F"/>
    <w:rsid w:val="53D55AFF"/>
    <w:rsid w:val="53D70F4E"/>
    <w:rsid w:val="53D720DA"/>
    <w:rsid w:val="53D77AC9"/>
    <w:rsid w:val="53D83120"/>
    <w:rsid w:val="53D855EF"/>
    <w:rsid w:val="53D95BBC"/>
    <w:rsid w:val="53DA4EC3"/>
    <w:rsid w:val="53DC50DF"/>
    <w:rsid w:val="53E06205"/>
    <w:rsid w:val="53E421E6"/>
    <w:rsid w:val="53E67BE9"/>
    <w:rsid w:val="53E7512C"/>
    <w:rsid w:val="53EB50DF"/>
    <w:rsid w:val="53ED1C72"/>
    <w:rsid w:val="53EE096F"/>
    <w:rsid w:val="53EF069E"/>
    <w:rsid w:val="53EF3AFC"/>
    <w:rsid w:val="53EF4F9A"/>
    <w:rsid w:val="53F00B8B"/>
    <w:rsid w:val="53F3339E"/>
    <w:rsid w:val="53F51CFD"/>
    <w:rsid w:val="53F65A75"/>
    <w:rsid w:val="53F817ED"/>
    <w:rsid w:val="53F8359B"/>
    <w:rsid w:val="53FB308C"/>
    <w:rsid w:val="53FD0BB2"/>
    <w:rsid w:val="53FD1C59"/>
    <w:rsid w:val="53FD32A8"/>
    <w:rsid w:val="54014B46"/>
    <w:rsid w:val="540168F4"/>
    <w:rsid w:val="540247ED"/>
    <w:rsid w:val="54091C4C"/>
    <w:rsid w:val="540C1AAD"/>
    <w:rsid w:val="540D52BE"/>
    <w:rsid w:val="541067D7"/>
    <w:rsid w:val="5411367F"/>
    <w:rsid w:val="54125A25"/>
    <w:rsid w:val="54132BC7"/>
    <w:rsid w:val="54162CA3"/>
    <w:rsid w:val="541728D2"/>
    <w:rsid w:val="54176117"/>
    <w:rsid w:val="54190C8D"/>
    <w:rsid w:val="541A1764"/>
    <w:rsid w:val="541B000A"/>
    <w:rsid w:val="541F427A"/>
    <w:rsid w:val="542076D2"/>
    <w:rsid w:val="5421650E"/>
    <w:rsid w:val="5421725B"/>
    <w:rsid w:val="54221320"/>
    <w:rsid w:val="542425E2"/>
    <w:rsid w:val="5426635A"/>
    <w:rsid w:val="5426775E"/>
    <w:rsid w:val="54272C85"/>
    <w:rsid w:val="542A25B7"/>
    <w:rsid w:val="542A71A8"/>
    <w:rsid w:val="542B2BAA"/>
    <w:rsid w:val="542D19F1"/>
    <w:rsid w:val="542D244B"/>
    <w:rsid w:val="542E3461"/>
    <w:rsid w:val="542F7CE0"/>
    <w:rsid w:val="54324CFF"/>
    <w:rsid w:val="54352A41"/>
    <w:rsid w:val="54370D91"/>
    <w:rsid w:val="54372316"/>
    <w:rsid w:val="543A0498"/>
    <w:rsid w:val="543A3BB4"/>
    <w:rsid w:val="543C02B7"/>
    <w:rsid w:val="544113E6"/>
    <w:rsid w:val="544233CC"/>
    <w:rsid w:val="54444A33"/>
    <w:rsid w:val="544F0AF3"/>
    <w:rsid w:val="54504B0B"/>
    <w:rsid w:val="545244E0"/>
    <w:rsid w:val="54553CBA"/>
    <w:rsid w:val="545A0829"/>
    <w:rsid w:val="545C3B2A"/>
    <w:rsid w:val="545C7FCE"/>
    <w:rsid w:val="545D53D9"/>
    <w:rsid w:val="545E3D46"/>
    <w:rsid w:val="545E43C8"/>
    <w:rsid w:val="54600951"/>
    <w:rsid w:val="54613836"/>
    <w:rsid w:val="5462207E"/>
    <w:rsid w:val="546337AA"/>
    <w:rsid w:val="546502EF"/>
    <w:rsid w:val="54660E4D"/>
    <w:rsid w:val="546727D9"/>
    <w:rsid w:val="546867E4"/>
    <w:rsid w:val="546B0211"/>
    <w:rsid w:val="546B4B5A"/>
    <w:rsid w:val="546B6463"/>
    <w:rsid w:val="546D5502"/>
    <w:rsid w:val="546D5D37"/>
    <w:rsid w:val="546E385E"/>
    <w:rsid w:val="547075D6"/>
    <w:rsid w:val="54732F1A"/>
    <w:rsid w:val="54744E91"/>
    <w:rsid w:val="54745318"/>
    <w:rsid w:val="54774E08"/>
    <w:rsid w:val="547846DC"/>
    <w:rsid w:val="54790B80"/>
    <w:rsid w:val="547C241E"/>
    <w:rsid w:val="547C325C"/>
    <w:rsid w:val="547C7417"/>
    <w:rsid w:val="547D5453"/>
    <w:rsid w:val="547E77EB"/>
    <w:rsid w:val="54807859"/>
    <w:rsid w:val="548553F0"/>
    <w:rsid w:val="54866DF9"/>
    <w:rsid w:val="548B315E"/>
    <w:rsid w:val="548F6466"/>
    <w:rsid w:val="54900C85"/>
    <w:rsid w:val="549332C4"/>
    <w:rsid w:val="54994D7E"/>
    <w:rsid w:val="549B5C3B"/>
    <w:rsid w:val="54A042A3"/>
    <w:rsid w:val="54A11D47"/>
    <w:rsid w:val="54A375A1"/>
    <w:rsid w:val="54A454D1"/>
    <w:rsid w:val="54A7213E"/>
    <w:rsid w:val="54AA1B63"/>
    <w:rsid w:val="54AA6F8B"/>
    <w:rsid w:val="54AB5916"/>
    <w:rsid w:val="54B0186C"/>
    <w:rsid w:val="54B05F7D"/>
    <w:rsid w:val="54B35714"/>
    <w:rsid w:val="54B53448"/>
    <w:rsid w:val="54B83A14"/>
    <w:rsid w:val="54BA072A"/>
    <w:rsid w:val="54BB3BF7"/>
    <w:rsid w:val="54BD677E"/>
    <w:rsid w:val="54C1162B"/>
    <w:rsid w:val="54C51142"/>
    <w:rsid w:val="54C811C0"/>
    <w:rsid w:val="54CB7C6A"/>
    <w:rsid w:val="54CD5BEC"/>
    <w:rsid w:val="54CF23EA"/>
    <w:rsid w:val="54D20D35"/>
    <w:rsid w:val="54D264E2"/>
    <w:rsid w:val="54D550D4"/>
    <w:rsid w:val="54D607DE"/>
    <w:rsid w:val="54D740BB"/>
    <w:rsid w:val="54D758A7"/>
    <w:rsid w:val="54D933CD"/>
    <w:rsid w:val="54D97871"/>
    <w:rsid w:val="54DD4E77"/>
    <w:rsid w:val="54DF096E"/>
    <w:rsid w:val="54DF5AEF"/>
    <w:rsid w:val="54DF6509"/>
    <w:rsid w:val="54E3249D"/>
    <w:rsid w:val="54E51D72"/>
    <w:rsid w:val="54E56216"/>
    <w:rsid w:val="54E7059F"/>
    <w:rsid w:val="54EA55DA"/>
    <w:rsid w:val="54EB0FDD"/>
    <w:rsid w:val="54EC6DAB"/>
    <w:rsid w:val="54ED50CA"/>
    <w:rsid w:val="54F00270"/>
    <w:rsid w:val="54F00F64"/>
    <w:rsid w:val="54F4312F"/>
    <w:rsid w:val="54F5082C"/>
    <w:rsid w:val="54F83FD0"/>
    <w:rsid w:val="54F950B8"/>
    <w:rsid w:val="54FA6536"/>
    <w:rsid w:val="54FA7BB7"/>
    <w:rsid w:val="54FB5E61"/>
    <w:rsid w:val="54FB794A"/>
    <w:rsid w:val="54FC70BB"/>
    <w:rsid w:val="54FF43F9"/>
    <w:rsid w:val="54FF4409"/>
    <w:rsid w:val="5503669C"/>
    <w:rsid w:val="55050666"/>
    <w:rsid w:val="55053C1C"/>
    <w:rsid w:val="550B5550"/>
    <w:rsid w:val="550B75C7"/>
    <w:rsid w:val="55106AAE"/>
    <w:rsid w:val="55114F23"/>
    <w:rsid w:val="551268DF"/>
    <w:rsid w:val="55156472"/>
    <w:rsid w:val="5516017D"/>
    <w:rsid w:val="55161B13"/>
    <w:rsid w:val="55164621"/>
    <w:rsid w:val="551745CB"/>
    <w:rsid w:val="551C06F9"/>
    <w:rsid w:val="551C6F0C"/>
    <w:rsid w:val="551D59AF"/>
    <w:rsid w:val="551F55E3"/>
    <w:rsid w:val="552343DD"/>
    <w:rsid w:val="5527133D"/>
    <w:rsid w:val="5528196E"/>
    <w:rsid w:val="55297FF8"/>
    <w:rsid w:val="552A3C28"/>
    <w:rsid w:val="552B06BA"/>
    <w:rsid w:val="552D7DC3"/>
    <w:rsid w:val="553158A2"/>
    <w:rsid w:val="55321B56"/>
    <w:rsid w:val="5532469A"/>
    <w:rsid w:val="55325E6D"/>
    <w:rsid w:val="55344AA7"/>
    <w:rsid w:val="5535640E"/>
    <w:rsid w:val="55366A71"/>
    <w:rsid w:val="553756E2"/>
    <w:rsid w:val="55385CCA"/>
    <w:rsid w:val="55385F3F"/>
    <w:rsid w:val="553B3FF0"/>
    <w:rsid w:val="553C6D3F"/>
    <w:rsid w:val="5540511D"/>
    <w:rsid w:val="554465B5"/>
    <w:rsid w:val="55462E98"/>
    <w:rsid w:val="55480552"/>
    <w:rsid w:val="5548396C"/>
    <w:rsid w:val="554A7B5A"/>
    <w:rsid w:val="554C0C19"/>
    <w:rsid w:val="554E79BC"/>
    <w:rsid w:val="554F2172"/>
    <w:rsid w:val="555174CC"/>
    <w:rsid w:val="5552317F"/>
    <w:rsid w:val="55524F2D"/>
    <w:rsid w:val="55533CEF"/>
    <w:rsid w:val="55582DCB"/>
    <w:rsid w:val="55594724"/>
    <w:rsid w:val="555C6292"/>
    <w:rsid w:val="555E21D1"/>
    <w:rsid w:val="55654C60"/>
    <w:rsid w:val="55686249"/>
    <w:rsid w:val="556A3947"/>
    <w:rsid w:val="556B422E"/>
    <w:rsid w:val="556E7FB9"/>
    <w:rsid w:val="557104D6"/>
    <w:rsid w:val="55747599"/>
    <w:rsid w:val="5575560F"/>
    <w:rsid w:val="55775466"/>
    <w:rsid w:val="55794BB0"/>
    <w:rsid w:val="55811B7D"/>
    <w:rsid w:val="55843A8D"/>
    <w:rsid w:val="558550CB"/>
    <w:rsid w:val="558A3CAE"/>
    <w:rsid w:val="558E600F"/>
    <w:rsid w:val="558F7177"/>
    <w:rsid w:val="55924C15"/>
    <w:rsid w:val="55937A20"/>
    <w:rsid w:val="55940062"/>
    <w:rsid w:val="55943798"/>
    <w:rsid w:val="55944046"/>
    <w:rsid w:val="55945546"/>
    <w:rsid w:val="5598427F"/>
    <w:rsid w:val="55990DAE"/>
    <w:rsid w:val="559D43FA"/>
    <w:rsid w:val="559E5872"/>
    <w:rsid w:val="55A2199D"/>
    <w:rsid w:val="55A559A5"/>
    <w:rsid w:val="55A6350B"/>
    <w:rsid w:val="55AA013B"/>
    <w:rsid w:val="55AC7E70"/>
    <w:rsid w:val="55AF5B1B"/>
    <w:rsid w:val="55B55BE8"/>
    <w:rsid w:val="55BC166C"/>
    <w:rsid w:val="55BD4A9D"/>
    <w:rsid w:val="55C02AF1"/>
    <w:rsid w:val="55C104B2"/>
    <w:rsid w:val="55C45F14"/>
    <w:rsid w:val="55CB086D"/>
    <w:rsid w:val="55CB4257"/>
    <w:rsid w:val="55CB540B"/>
    <w:rsid w:val="55CC4CE0"/>
    <w:rsid w:val="55CE0A58"/>
    <w:rsid w:val="55D134A0"/>
    <w:rsid w:val="55D32E9F"/>
    <w:rsid w:val="55D342B5"/>
    <w:rsid w:val="55D41DE6"/>
    <w:rsid w:val="55DA564E"/>
    <w:rsid w:val="55DC4801"/>
    <w:rsid w:val="55E01101"/>
    <w:rsid w:val="55E02EBA"/>
    <w:rsid w:val="55E1614E"/>
    <w:rsid w:val="55E269AB"/>
    <w:rsid w:val="55E42029"/>
    <w:rsid w:val="55E64236"/>
    <w:rsid w:val="55E83FF5"/>
    <w:rsid w:val="55E95567"/>
    <w:rsid w:val="55EB71C9"/>
    <w:rsid w:val="55EC5382"/>
    <w:rsid w:val="55EE10FA"/>
    <w:rsid w:val="55F04E72"/>
    <w:rsid w:val="55F14746"/>
    <w:rsid w:val="55F304BE"/>
    <w:rsid w:val="55F33CDF"/>
    <w:rsid w:val="55F45FE4"/>
    <w:rsid w:val="55F8497D"/>
    <w:rsid w:val="55FB6E4B"/>
    <w:rsid w:val="55FB7292"/>
    <w:rsid w:val="55FB7D50"/>
    <w:rsid w:val="55FC6265"/>
    <w:rsid w:val="55FE3041"/>
    <w:rsid w:val="56002BDB"/>
    <w:rsid w:val="56005E65"/>
    <w:rsid w:val="56016118"/>
    <w:rsid w:val="56026953"/>
    <w:rsid w:val="560372F7"/>
    <w:rsid w:val="56056FB0"/>
    <w:rsid w:val="56057996"/>
    <w:rsid w:val="560721BC"/>
    <w:rsid w:val="56075D18"/>
    <w:rsid w:val="560B3A5A"/>
    <w:rsid w:val="560B6B3E"/>
    <w:rsid w:val="560F63FA"/>
    <w:rsid w:val="561072C2"/>
    <w:rsid w:val="56116694"/>
    <w:rsid w:val="56120D95"/>
    <w:rsid w:val="56154D6F"/>
    <w:rsid w:val="56197BD5"/>
    <w:rsid w:val="561D553B"/>
    <w:rsid w:val="56222B52"/>
    <w:rsid w:val="562332AD"/>
    <w:rsid w:val="56260894"/>
    <w:rsid w:val="56301386"/>
    <w:rsid w:val="56352885"/>
    <w:rsid w:val="563741F2"/>
    <w:rsid w:val="56396D1E"/>
    <w:rsid w:val="563C5AFD"/>
    <w:rsid w:val="563F3703"/>
    <w:rsid w:val="5640130B"/>
    <w:rsid w:val="5641747C"/>
    <w:rsid w:val="56426CB9"/>
    <w:rsid w:val="56440435"/>
    <w:rsid w:val="56450F2A"/>
    <w:rsid w:val="56466840"/>
    <w:rsid w:val="5646785A"/>
    <w:rsid w:val="564755FC"/>
    <w:rsid w:val="56496330"/>
    <w:rsid w:val="564B6F38"/>
    <w:rsid w:val="564D2A30"/>
    <w:rsid w:val="56502428"/>
    <w:rsid w:val="565350BC"/>
    <w:rsid w:val="56581FF9"/>
    <w:rsid w:val="56590D79"/>
    <w:rsid w:val="56593987"/>
    <w:rsid w:val="565E2936"/>
    <w:rsid w:val="566027E3"/>
    <w:rsid w:val="5663297D"/>
    <w:rsid w:val="56681C85"/>
    <w:rsid w:val="56694C24"/>
    <w:rsid w:val="566B274A"/>
    <w:rsid w:val="566B44F9"/>
    <w:rsid w:val="566E5D97"/>
    <w:rsid w:val="56701222"/>
    <w:rsid w:val="56705FB3"/>
    <w:rsid w:val="56717635"/>
    <w:rsid w:val="5672795E"/>
    <w:rsid w:val="567302BD"/>
    <w:rsid w:val="56757125"/>
    <w:rsid w:val="56797A9F"/>
    <w:rsid w:val="567A298E"/>
    <w:rsid w:val="567B600F"/>
    <w:rsid w:val="567C6706"/>
    <w:rsid w:val="568016E9"/>
    <w:rsid w:val="56813D1C"/>
    <w:rsid w:val="56821842"/>
    <w:rsid w:val="56831029"/>
    <w:rsid w:val="5683298E"/>
    <w:rsid w:val="56854CB5"/>
    <w:rsid w:val="568B06F7"/>
    <w:rsid w:val="568E3019"/>
    <w:rsid w:val="568F468B"/>
    <w:rsid w:val="56902A47"/>
    <w:rsid w:val="56921A57"/>
    <w:rsid w:val="56975207"/>
    <w:rsid w:val="569A3EFA"/>
    <w:rsid w:val="569A44C4"/>
    <w:rsid w:val="569C3711"/>
    <w:rsid w:val="56A018BD"/>
    <w:rsid w:val="56A31EE4"/>
    <w:rsid w:val="56A63783"/>
    <w:rsid w:val="56A8574D"/>
    <w:rsid w:val="56AA15A6"/>
    <w:rsid w:val="56B129E1"/>
    <w:rsid w:val="56B13618"/>
    <w:rsid w:val="56B13EA1"/>
    <w:rsid w:val="56B57E6A"/>
    <w:rsid w:val="56B627EB"/>
    <w:rsid w:val="56B75990"/>
    <w:rsid w:val="56BB573A"/>
    <w:rsid w:val="56BB689D"/>
    <w:rsid w:val="56BC3A8F"/>
    <w:rsid w:val="56BC4195"/>
    <w:rsid w:val="56BC7931"/>
    <w:rsid w:val="56C006C5"/>
    <w:rsid w:val="56C1680E"/>
    <w:rsid w:val="56C37E91"/>
    <w:rsid w:val="56C43C09"/>
    <w:rsid w:val="56CA56C3"/>
    <w:rsid w:val="56CF0F2B"/>
    <w:rsid w:val="56CF2CD9"/>
    <w:rsid w:val="56D149E7"/>
    <w:rsid w:val="56D24578"/>
    <w:rsid w:val="56D402F0"/>
    <w:rsid w:val="56D44016"/>
    <w:rsid w:val="56D476F8"/>
    <w:rsid w:val="56D7393C"/>
    <w:rsid w:val="56DE4CCA"/>
    <w:rsid w:val="56DE7977"/>
    <w:rsid w:val="56E06AC2"/>
    <w:rsid w:val="56E12A0D"/>
    <w:rsid w:val="56E16569"/>
    <w:rsid w:val="56E3026F"/>
    <w:rsid w:val="56E40947"/>
    <w:rsid w:val="56E41EF7"/>
    <w:rsid w:val="56F0433B"/>
    <w:rsid w:val="56F25548"/>
    <w:rsid w:val="56F40992"/>
    <w:rsid w:val="56F468CC"/>
    <w:rsid w:val="56F52BF9"/>
    <w:rsid w:val="56F639C2"/>
    <w:rsid w:val="56F763DC"/>
    <w:rsid w:val="56FB3ACE"/>
    <w:rsid w:val="56FD6278"/>
    <w:rsid w:val="56FE6CD6"/>
    <w:rsid w:val="56FF1A89"/>
    <w:rsid w:val="57034731"/>
    <w:rsid w:val="5705041B"/>
    <w:rsid w:val="570566FB"/>
    <w:rsid w:val="57064221"/>
    <w:rsid w:val="57081D47"/>
    <w:rsid w:val="570D729D"/>
    <w:rsid w:val="57121AD2"/>
    <w:rsid w:val="5714693E"/>
    <w:rsid w:val="57174680"/>
    <w:rsid w:val="57186328"/>
    <w:rsid w:val="571B58FC"/>
    <w:rsid w:val="571B7CCD"/>
    <w:rsid w:val="571C57F3"/>
    <w:rsid w:val="571D270F"/>
    <w:rsid w:val="571F7091"/>
    <w:rsid w:val="57236B81"/>
    <w:rsid w:val="572B0498"/>
    <w:rsid w:val="572C51EB"/>
    <w:rsid w:val="573214BA"/>
    <w:rsid w:val="57326206"/>
    <w:rsid w:val="57332714"/>
    <w:rsid w:val="573664C1"/>
    <w:rsid w:val="573945F7"/>
    <w:rsid w:val="573A198F"/>
    <w:rsid w:val="573A3ECB"/>
    <w:rsid w:val="573F0049"/>
    <w:rsid w:val="57405985"/>
    <w:rsid w:val="57415259"/>
    <w:rsid w:val="57461B3F"/>
    <w:rsid w:val="57476405"/>
    <w:rsid w:val="574A1EE6"/>
    <w:rsid w:val="574F3E1A"/>
    <w:rsid w:val="574F7976"/>
    <w:rsid w:val="575117C2"/>
    <w:rsid w:val="575568CE"/>
    <w:rsid w:val="57572CCF"/>
    <w:rsid w:val="575B27BF"/>
    <w:rsid w:val="575B4B36"/>
    <w:rsid w:val="575B631B"/>
    <w:rsid w:val="57624BFE"/>
    <w:rsid w:val="57630B4C"/>
    <w:rsid w:val="576B22D6"/>
    <w:rsid w:val="576C0528"/>
    <w:rsid w:val="576C3B76"/>
    <w:rsid w:val="576D20E5"/>
    <w:rsid w:val="57712BCB"/>
    <w:rsid w:val="57727B09"/>
    <w:rsid w:val="57763155"/>
    <w:rsid w:val="57796E19"/>
    <w:rsid w:val="577B346D"/>
    <w:rsid w:val="577D0987"/>
    <w:rsid w:val="577D16A3"/>
    <w:rsid w:val="577F26FF"/>
    <w:rsid w:val="57811AFA"/>
    <w:rsid w:val="57820805"/>
    <w:rsid w:val="57841493"/>
    <w:rsid w:val="5785783C"/>
    <w:rsid w:val="57872E9F"/>
    <w:rsid w:val="5787613A"/>
    <w:rsid w:val="578A0AFF"/>
    <w:rsid w:val="57931F59"/>
    <w:rsid w:val="57947A7F"/>
    <w:rsid w:val="579563B7"/>
    <w:rsid w:val="5797131D"/>
    <w:rsid w:val="579A3238"/>
    <w:rsid w:val="579B0E0D"/>
    <w:rsid w:val="579B52D6"/>
    <w:rsid w:val="579D11E1"/>
    <w:rsid w:val="579D2DD8"/>
    <w:rsid w:val="579E26AC"/>
    <w:rsid w:val="579E5B37"/>
    <w:rsid w:val="579F060F"/>
    <w:rsid w:val="579F6BBB"/>
    <w:rsid w:val="57A53A3A"/>
    <w:rsid w:val="57A82E9A"/>
    <w:rsid w:val="57B1418D"/>
    <w:rsid w:val="57B17D5C"/>
    <w:rsid w:val="57B27F05"/>
    <w:rsid w:val="57B43C7D"/>
    <w:rsid w:val="57B5030F"/>
    <w:rsid w:val="57B5576B"/>
    <w:rsid w:val="57B813CA"/>
    <w:rsid w:val="57B873F8"/>
    <w:rsid w:val="57B90E17"/>
    <w:rsid w:val="57BB7AED"/>
    <w:rsid w:val="57C069AE"/>
    <w:rsid w:val="57C10B26"/>
    <w:rsid w:val="57C24BD3"/>
    <w:rsid w:val="57C2639A"/>
    <w:rsid w:val="57C375FE"/>
    <w:rsid w:val="57C93BCD"/>
    <w:rsid w:val="57CA3113"/>
    <w:rsid w:val="57CC49FD"/>
    <w:rsid w:val="57CE685D"/>
    <w:rsid w:val="57CF13F9"/>
    <w:rsid w:val="57D1482F"/>
    <w:rsid w:val="57D65FEA"/>
    <w:rsid w:val="57DA7B88"/>
    <w:rsid w:val="57DB3900"/>
    <w:rsid w:val="57DE6F4C"/>
    <w:rsid w:val="57E07C89"/>
    <w:rsid w:val="57E133B4"/>
    <w:rsid w:val="57E25BD6"/>
    <w:rsid w:val="57E549B0"/>
    <w:rsid w:val="57E83927"/>
    <w:rsid w:val="57E91B79"/>
    <w:rsid w:val="57EE25CE"/>
    <w:rsid w:val="57F10A2D"/>
    <w:rsid w:val="57F26960"/>
    <w:rsid w:val="57F26CBD"/>
    <w:rsid w:val="57F775FC"/>
    <w:rsid w:val="57F77651"/>
    <w:rsid w:val="57FB7AFE"/>
    <w:rsid w:val="57FC5D21"/>
    <w:rsid w:val="57FD3876"/>
    <w:rsid w:val="57FD5A50"/>
    <w:rsid w:val="57FE5FD0"/>
    <w:rsid w:val="57FE6DFF"/>
    <w:rsid w:val="57FF139C"/>
    <w:rsid w:val="580011FA"/>
    <w:rsid w:val="58014F3B"/>
    <w:rsid w:val="5805272B"/>
    <w:rsid w:val="58085821"/>
    <w:rsid w:val="580A1AEF"/>
    <w:rsid w:val="580F5ED7"/>
    <w:rsid w:val="580F65AA"/>
    <w:rsid w:val="58134E48"/>
    <w:rsid w:val="581806B0"/>
    <w:rsid w:val="581B1F4E"/>
    <w:rsid w:val="581B5AAA"/>
    <w:rsid w:val="581D7A74"/>
    <w:rsid w:val="581F37ED"/>
    <w:rsid w:val="58207565"/>
    <w:rsid w:val="58215E79"/>
    <w:rsid w:val="582265FF"/>
    <w:rsid w:val="582A7F32"/>
    <w:rsid w:val="582C1E58"/>
    <w:rsid w:val="582E57DE"/>
    <w:rsid w:val="583158FA"/>
    <w:rsid w:val="58324E59"/>
    <w:rsid w:val="58331046"/>
    <w:rsid w:val="5834553D"/>
    <w:rsid w:val="58381A12"/>
    <w:rsid w:val="583848AE"/>
    <w:rsid w:val="58384995"/>
    <w:rsid w:val="583A180B"/>
    <w:rsid w:val="583F055B"/>
    <w:rsid w:val="583F487D"/>
    <w:rsid w:val="584119B5"/>
    <w:rsid w:val="584247A3"/>
    <w:rsid w:val="58460242"/>
    <w:rsid w:val="584B166E"/>
    <w:rsid w:val="584D4659"/>
    <w:rsid w:val="585039A6"/>
    <w:rsid w:val="5851456D"/>
    <w:rsid w:val="58525E49"/>
    <w:rsid w:val="58533496"/>
    <w:rsid w:val="58536781"/>
    <w:rsid w:val="58550FBC"/>
    <w:rsid w:val="58565030"/>
    <w:rsid w:val="585829AC"/>
    <w:rsid w:val="585A3D79"/>
    <w:rsid w:val="585C1FC3"/>
    <w:rsid w:val="585C225D"/>
    <w:rsid w:val="585C47E7"/>
    <w:rsid w:val="585F008D"/>
    <w:rsid w:val="585F1E3B"/>
    <w:rsid w:val="586109A0"/>
    <w:rsid w:val="58610A54"/>
    <w:rsid w:val="58627B3D"/>
    <w:rsid w:val="586368BA"/>
    <w:rsid w:val="586403A0"/>
    <w:rsid w:val="58654F91"/>
    <w:rsid w:val="586B0317"/>
    <w:rsid w:val="586B3596"/>
    <w:rsid w:val="586C526F"/>
    <w:rsid w:val="586F1E8F"/>
    <w:rsid w:val="58705DF6"/>
    <w:rsid w:val="58723D63"/>
    <w:rsid w:val="58736D01"/>
    <w:rsid w:val="5875340D"/>
    <w:rsid w:val="588051AB"/>
    <w:rsid w:val="58823D7B"/>
    <w:rsid w:val="58845D45"/>
    <w:rsid w:val="58847039"/>
    <w:rsid w:val="58853D95"/>
    <w:rsid w:val="5886386C"/>
    <w:rsid w:val="588924FB"/>
    <w:rsid w:val="588A6193"/>
    <w:rsid w:val="58920C12"/>
    <w:rsid w:val="5894178D"/>
    <w:rsid w:val="58943993"/>
    <w:rsid w:val="58993C0E"/>
    <w:rsid w:val="589B2061"/>
    <w:rsid w:val="589B7D67"/>
    <w:rsid w:val="589E5122"/>
    <w:rsid w:val="589E654D"/>
    <w:rsid w:val="58A15A48"/>
    <w:rsid w:val="58A576D9"/>
    <w:rsid w:val="58A616ED"/>
    <w:rsid w:val="58A64135"/>
    <w:rsid w:val="58A864AB"/>
    <w:rsid w:val="58B02697"/>
    <w:rsid w:val="58B24661"/>
    <w:rsid w:val="58B44AB2"/>
    <w:rsid w:val="58B44CC8"/>
    <w:rsid w:val="58B47E5D"/>
    <w:rsid w:val="58B8326A"/>
    <w:rsid w:val="58BB43F4"/>
    <w:rsid w:val="58BC1C9F"/>
    <w:rsid w:val="58BD0049"/>
    <w:rsid w:val="58C12AF6"/>
    <w:rsid w:val="58C23667"/>
    <w:rsid w:val="58C32D7E"/>
    <w:rsid w:val="58C6175D"/>
    <w:rsid w:val="58C91E1B"/>
    <w:rsid w:val="58C9536E"/>
    <w:rsid w:val="58CB127E"/>
    <w:rsid w:val="58CB74D0"/>
    <w:rsid w:val="58D029ED"/>
    <w:rsid w:val="58D726E2"/>
    <w:rsid w:val="58D9385F"/>
    <w:rsid w:val="58DA445B"/>
    <w:rsid w:val="58DC3FCB"/>
    <w:rsid w:val="58DD4376"/>
    <w:rsid w:val="58DF4D2A"/>
    <w:rsid w:val="58E07AA6"/>
    <w:rsid w:val="58E10AA2"/>
    <w:rsid w:val="58E128DC"/>
    <w:rsid w:val="58E47E8D"/>
    <w:rsid w:val="58E8482A"/>
    <w:rsid w:val="58EB36CF"/>
    <w:rsid w:val="58EB4397"/>
    <w:rsid w:val="58ED3243"/>
    <w:rsid w:val="58EF731A"/>
    <w:rsid w:val="58F13B1B"/>
    <w:rsid w:val="58F15E5A"/>
    <w:rsid w:val="58F166FA"/>
    <w:rsid w:val="58F2340E"/>
    <w:rsid w:val="58F24A5D"/>
    <w:rsid w:val="58F33FD0"/>
    <w:rsid w:val="58F41BD9"/>
    <w:rsid w:val="58F46A27"/>
    <w:rsid w:val="58F509F1"/>
    <w:rsid w:val="58F5454D"/>
    <w:rsid w:val="58FA3388"/>
    <w:rsid w:val="58FA3780"/>
    <w:rsid w:val="58FE1654"/>
    <w:rsid w:val="59057FA0"/>
    <w:rsid w:val="5906737F"/>
    <w:rsid w:val="59080725"/>
    <w:rsid w:val="59083A3D"/>
    <w:rsid w:val="590A624B"/>
    <w:rsid w:val="590B2D1D"/>
    <w:rsid w:val="590B59E7"/>
    <w:rsid w:val="59102873"/>
    <w:rsid w:val="591075D9"/>
    <w:rsid w:val="59141099"/>
    <w:rsid w:val="59142C25"/>
    <w:rsid w:val="59150BEF"/>
    <w:rsid w:val="591744C4"/>
    <w:rsid w:val="591849E0"/>
    <w:rsid w:val="59186EF6"/>
    <w:rsid w:val="5919023C"/>
    <w:rsid w:val="5919648E"/>
    <w:rsid w:val="591A1CD6"/>
    <w:rsid w:val="591E1CF6"/>
    <w:rsid w:val="5924427A"/>
    <w:rsid w:val="592B5FB8"/>
    <w:rsid w:val="5932758A"/>
    <w:rsid w:val="59350ABE"/>
    <w:rsid w:val="59356C1C"/>
    <w:rsid w:val="59362717"/>
    <w:rsid w:val="593A254A"/>
    <w:rsid w:val="593B0643"/>
    <w:rsid w:val="593B28A8"/>
    <w:rsid w:val="593C03CE"/>
    <w:rsid w:val="593C5B4E"/>
    <w:rsid w:val="593C7BBD"/>
    <w:rsid w:val="593E1618"/>
    <w:rsid w:val="593E5BDC"/>
    <w:rsid w:val="59413C36"/>
    <w:rsid w:val="59441031"/>
    <w:rsid w:val="59464DA9"/>
    <w:rsid w:val="594922C2"/>
    <w:rsid w:val="594B1AFD"/>
    <w:rsid w:val="594C631A"/>
    <w:rsid w:val="59527BF2"/>
    <w:rsid w:val="59545718"/>
    <w:rsid w:val="59554FEC"/>
    <w:rsid w:val="5959120F"/>
    <w:rsid w:val="595D2F63"/>
    <w:rsid w:val="595D6A2F"/>
    <w:rsid w:val="595F02FB"/>
    <w:rsid w:val="595F2E27"/>
    <w:rsid w:val="59600192"/>
    <w:rsid w:val="596013A4"/>
    <w:rsid w:val="59624727"/>
    <w:rsid w:val="59637709"/>
    <w:rsid w:val="59640B50"/>
    <w:rsid w:val="5966697A"/>
    <w:rsid w:val="59684D1F"/>
    <w:rsid w:val="596A0A97"/>
    <w:rsid w:val="596B480F"/>
    <w:rsid w:val="596C2A61"/>
    <w:rsid w:val="596E20C0"/>
    <w:rsid w:val="59701E3C"/>
    <w:rsid w:val="59701FC8"/>
    <w:rsid w:val="59722042"/>
    <w:rsid w:val="59741916"/>
    <w:rsid w:val="597731B4"/>
    <w:rsid w:val="597A4A53"/>
    <w:rsid w:val="597A5611"/>
    <w:rsid w:val="597B0EF6"/>
    <w:rsid w:val="597C6D3E"/>
    <w:rsid w:val="598310D4"/>
    <w:rsid w:val="59835FFD"/>
    <w:rsid w:val="598411F3"/>
    <w:rsid w:val="59876A10"/>
    <w:rsid w:val="5988147A"/>
    <w:rsid w:val="59886A06"/>
    <w:rsid w:val="598924BA"/>
    <w:rsid w:val="598A113A"/>
    <w:rsid w:val="598A46E2"/>
    <w:rsid w:val="598D4786"/>
    <w:rsid w:val="598F04FE"/>
    <w:rsid w:val="598F6750"/>
    <w:rsid w:val="599124C8"/>
    <w:rsid w:val="599A3D3D"/>
    <w:rsid w:val="599B6EA3"/>
    <w:rsid w:val="599E0B24"/>
    <w:rsid w:val="599E2E37"/>
    <w:rsid w:val="59A0653E"/>
    <w:rsid w:val="59A213C2"/>
    <w:rsid w:val="59A7174A"/>
    <w:rsid w:val="59A75706"/>
    <w:rsid w:val="59A86B0E"/>
    <w:rsid w:val="59AA17DC"/>
    <w:rsid w:val="59AC510F"/>
    <w:rsid w:val="59AC7302"/>
    <w:rsid w:val="59B241EC"/>
    <w:rsid w:val="59B32970"/>
    <w:rsid w:val="59B46712"/>
    <w:rsid w:val="59B47F65"/>
    <w:rsid w:val="59B600C3"/>
    <w:rsid w:val="59B61F2F"/>
    <w:rsid w:val="59B7559A"/>
    <w:rsid w:val="59B76103"/>
    <w:rsid w:val="59B83EF9"/>
    <w:rsid w:val="59B8414C"/>
    <w:rsid w:val="59B85C8C"/>
    <w:rsid w:val="59B85CA7"/>
    <w:rsid w:val="59B937CD"/>
    <w:rsid w:val="59BB12F3"/>
    <w:rsid w:val="59BD150F"/>
    <w:rsid w:val="59C01A08"/>
    <w:rsid w:val="59C02DAD"/>
    <w:rsid w:val="59C11997"/>
    <w:rsid w:val="59C11B3E"/>
    <w:rsid w:val="59CA59DA"/>
    <w:rsid w:val="59CC3500"/>
    <w:rsid w:val="59CF0EAB"/>
    <w:rsid w:val="59D14FBA"/>
    <w:rsid w:val="59D62D10"/>
    <w:rsid w:val="59D6437F"/>
    <w:rsid w:val="59D67A6F"/>
    <w:rsid w:val="59DD379F"/>
    <w:rsid w:val="59DF0736"/>
    <w:rsid w:val="59DF334F"/>
    <w:rsid w:val="59E051FD"/>
    <w:rsid w:val="59E36A9C"/>
    <w:rsid w:val="59E52A98"/>
    <w:rsid w:val="59E53B41"/>
    <w:rsid w:val="59E85E60"/>
    <w:rsid w:val="59EB2795"/>
    <w:rsid w:val="59EC76FE"/>
    <w:rsid w:val="59EE791A"/>
    <w:rsid w:val="59EF71EF"/>
    <w:rsid w:val="59F34F31"/>
    <w:rsid w:val="59F44805"/>
    <w:rsid w:val="59F5399D"/>
    <w:rsid w:val="59F56B3F"/>
    <w:rsid w:val="59F83A4A"/>
    <w:rsid w:val="5A047DDA"/>
    <w:rsid w:val="5A0500EF"/>
    <w:rsid w:val="5A0507C0"/>
    <w:rsid w:val="5A054C64"/>
    <w:rsid w:val="5A0802B0"/>
    <w:rsid w:val="5A0A3523"/>
    <w:rsid w:val="5A0D4F79"/>
    <w:rsid w:val="5A183089"/>
    <w:rsid w:val="5A1B45D7"/>
    <w:rsid w:val="5A2050FD"/>
    <w:rsid w:val="5A2103F5"/>
    <w:rsid w:val="5A2275C4"/>
    <w:rsid w:val="5A2520EE"/>
    <w:rsid w:val="5A274BDA"/>
    <w:rsid w:val="5A2B0E84"/>
    <w:rsid w:val="5A2B3123"/>
    <w:rsid w:val="5A2D7D06"/>
    <w:rsid w:val="5A30620F"/>
    <w:rsid w:val="5A326432"/>
    <w:rsid w:val="5A3310A6"/>
    <w:rsid w:val="5A3515F9"/>
    <w:rsid w:val="5A3B7F6A"/>
    <w:rsid w:val="5A4062C3"/>
    <w:rsid w:val="5A432C49"/>
    <w:rsid w:val="5A44578C"/>
    <w:rsid w:val="5A44753A"/>
    <w:rsid w:val="5A4658AD"/>
    <w:rsid w:val="5A47527D"/>
    <w:rsid w:val="5A47702B"/>
    <w:rsid w:val="5A490FF5"/>
    <w:rsid w:val="5A4A08C9"/>
    <w:rsid w:val="5A4A42D7"/>
    <w:rsid w:val="5A4C2893"/>
    <w:rsid w:val="5A4D3D45"/>
    <w:rsid w:val="5A4F5AE8"/>
    <w:rsid w:val="5A4F7C8D"/>
    <w:rsid w:val="5A504881"/>
    <w:rsid w:val="5A5436F8"/>
    <w:rsid w:val="5A592E06"/>
    <w:rsid w:val="5A5A6D5E"/>
    <w:rsid w:val="5A5B541B"/>
    <w:rsid w:val="5A5D23AA"/>
    <w:rsid w:val="5A6220B6"/>
    <w:rsid w:val="5A631C84"/>
    <w:rsid w:val="5A64198B"/>
    <w:rsid w:val="5A645765"/>
    <w:rsid w:val="5A6A4AC7"/>
    <w:rsid w:val="5A6B2D19"/>
    <w:rsid w:val="5A6E18C4"/>
    <w:rsid w:val="5A6F7FE5"/>
    <w:rsid w:val="5A7140A7"/>
    <w:rsid w:val="5A747910"/>
    <w:rsid w:val="5A752F04"/>
    <w:rsid w:val="5A756784"/>
    <w:rsid w:val="5A764E02"/>
    <w:rsid w:val="5A76585E"/>
    <w:rsid w:val="5A7871E4"/>
    <w:rsid w:val="5A7D47FA"/>
    <w:rsid w:val="5A7F67C4"/>
    <w:rsid w:val="5A8262B5"/>
    <w:rsid w:val="5A827910"/>
    <w:rsid w:val="5A836333"/>
    <w:rsid w:val="5A853ABD"/>
    <w:rsid w:val="5A857895"/>
    <w:rsid w:val="5A87071D"/>
    <w:rsid w:val="5A8E4C59"/>
    <w:rsid w:val="5A8F11C8"/>
    <w:rsid w:val="5A90452E"/>
    <w:rsid w:val="5A924D04"/>
    <w:rsid w:val="5A926507"/>
    <w:rsid w:val="5A951B44"/>
    <w:rsid w:val="5A955FE8"/>
    <w:rsid w:val="5A9B1124"/>
    <w:rsid w:val="5A9C38F0"/>
    <w:rsid w:val="5A9C7376"/>
    <w:rsid w:val="5A9D30EE"/>
    <w:rsid w:val="5AA12BDF"/>
    <w:rsid w:val="5AA1697F"/>
    <w:rsid w:val="5AA20705"/>
    <w:rsid w:val="5AA25C2F"/>
    <w:rsid w:val="5AA560F5"/>
    <w:rsid w:val="5AA91A93"/>
    <w:rsid w:val="5AAB5883"/>
    <w:rsid w:val="5AB26B9A"/>
    <w:rsid w:val="5AB50438"/>
    <w:rsid w:val="5AB5205D"/>
    <w:rsid w:val="5ABB3CF9"/>
    <w:rsid w:val="5ABB5323"/>
    <w:rsid w:val="5ABC1175"/>
    <w:rsid w:val="5AC12F40"/>
    <w:rsid w:val="5AC92397"/>
    <w:rsid w:val="5AC96D86"/>
    <w:rsid w:val="5ACE08EC"/>
    <w:rsid w:val="5ACE4BE0"/>
    <w:rsid w:val="5ACF04A3"/>
    <w:rsid w:val="5AD010EB"/>
    <w:rsid w:val="5AD14AAB"/>
    <w:rsid w:val="5AD60E01"/>
    <w:rsid w:val="5ADB2DA6"/>
    <w:rsid w:val="5ADE6E77"/>
    <w:rsid w:val="5ADF3707"/>
    <w:rsid w:val="5AE126A1"/>
    <w:rsid w:val="5AEB2F4B"/>
    <w:rsid w:val="5AEB602E"/>
    <w:rsid w:val="5AEE44F2"/>
    <w:rsid w:val="5AF0321E"/>
    <w:rsid w:val="5AF251E8"/>
    <w:rsid w:val="5AF30F60"/>
    <w:rsid w:val="5AF4460E"/>
    <w:rsid w:val="5AF64E6A"/>
    <w:rsid w:val="5AF93075"/>
    <w:rsid w:val="5AF9581C"/>
    <w:rsid w:val="5AFD0134"/>
    <w:rsid w:val="5B051CDC"/>
    <w:rsid w:val="5B0B44FC"/>
    <w:rsid w:val="5B0B587E"/>
    <w:rsid w:val="5B100064"/>
    <w:rsid w:val="5B1119CE"/>
    <w:rsid w:val="5B112729"/>
    <w:rsid w:val="5B113780"/>
    <w:rsid w:val="5B116ACD"/>
    <w:rsid w:val="5B123195"/>
    <w:rsid w:val="5B157129"/>
    <w:rsid w:val="5B174C4F"/>
    <w:rsid w:val="5B1909C7"/>
    <w:rsid w:val="5B194678"/>
    <w:rsid w:val="5B1A7FC3"/>
    <w:rsid w:val="5B1C04B7"/>
    <w:rsid w:val="5B1D256C"/>
    <w:rsid w:val="5B1E49F0"/>
    <w:rsid w:val="5B215ACE"/>
    <w:rsid w:val="5B2559B2"/>
    <w:rsid w:val="5B267409"/>
    <w:rsid w:val="5B2B3282"/>
    <w:rsid w:val="5B2D6838"/>
    <w:rsid w:val="5B2E042F"/>
    <w:rsid w:val="5B301722"/>
    <w:rsid w:val="5B323837"/>
    <w:rsid w:val="5B324BBE"/>
    <w:rsid w:val="5B371E0D"/>
    <w:rsid w:val="5B37709F"/>
    <w:rsid w:val="5B3A093D"/>
    <w:rsid w:val="5B3D3F8A"/>
    <w:rsid w:val="5B4041A6"/>
    <w:rsid w:val="5B44778F"/>
    <w:rsid w:val="5B447CC1"/>
    <w:rsid w:val="5B461C7F"/>
    <w:rsid w:val="5B490B80"/>
    <w:rsid w:val="5B4A34DF"/>
    <w:rsid w:val="5B4D68C3"/>
    <w:rsid w:val="5B511732"/>
    <w:rsid w:val="5B527A35"/>
    <w:rsid w:val="5B550ED5"/>
    <w:rsid w:val="5B572F31"/>
    <w:rsid w:val="5B635637"/>
    <w:rsid w:val="5B647768"/>
    <w:rsid w:val="5B653DDC"/>
    <w:rsid w:val="5B657702"/>
    <w:rsid w:val="5B6A1223"/>
    <w:rsid w:val="5B6B4A58"/>
    <w:rsid w:val="5B6B6D49"/>
    <w:rsid w:val="5B6C4098"/>
    <w:rsid w:val="5B721E85"/>
    <w:rsid w:val="5B735AF4"/>
    <w:rsid w:val="5B743DED"/>
    <w:rsid w:val="5B765E19"/>
    <w:rsid w:val="5B7A1555"/>
    <w:rsid w:val="5B7C0BF3"/>
    <w:rsid w:val="5B7C5324"/>
    <w:rsid w:val="5B7E704A"/>
    <w:rsid w:val="5B805C29"/>
    <w:rsid w:val="5B862AB9"/>
    <w:rsid w:val="5B8816A9"/>
    <w:rsid w:val="5B885B4D"/>
    <w:rsid w:val="5B8B46C1"/>
    <w:rsid w:val="5B8B7DDC"/>
    <w:rsid w:val="5B8C6ED7"/>
    <w:rsid w:val="5B8F0C89"/>
    <w:rsid w:val="5B921E7B"/>
    <w:rsid w:val="5B931590"/>
    <w:rsid w:val="5B9718EC"/>
    <w:rsid w:val="5B977B3E"/>
    <w:rsid w:val="5B977D33"/>
    <w:rsid w:val="5B9826C9"/>
    <w:rsid w:val="5B991B08"/>
    <w:rsid w:val="5B9A585A"/>
    <w:rsid w:val="5B9C2A32"/>
    <w:rsid w:val="5B9C6F02"/>
    <w:rsid w:val="5BA16F7A"/>
    <w:rsid w:val="5BA2393A"/>
    <w:rsid w:val="5BA34735"/>
    <w:rsid w:val="5BA5225B"/>
    <w:rsid w:val="5BA52291"/>
    <w:rsid w:val="5BA54009"/>
    <w:rsid w:val="5BA64C84"/>
    <w:rsid w:val="5BA81D4B"/>
    <w:rsid w:val="5BAD7271"/>
    <w:rsid w:val="5BB82598"/>
    <w:rsid w:val="5BB82629"/>
    <w:rsid w:val="5BBD4A2F"/>
    <w:rsid w:val="5BBE331C"/>
    <w:rsid w:val="5BC05BE2"/>
    <w:rsid w:val="5BC14BBB"/>
    <w:rsid w:val="5BC5369D"/>
    <w:rsid w:val="5BC86087"/>
    <w:rsid w:val="5BCB5E8B"/>
    <w:rsid w:val="5BCC71D4"/>
    <w:rsid w:val="5BCD40F5"/>
    <w:rsid w:val="5BCF49A4"/>
    <w:rsid w:val="5BD14DA8"/>
    <w:rsid w:val="5BD1745C"/>
    <w:rsid w:val="5BD55AF2"/>
    <w:rsid w:val="5BD771A9"/>
    <w:rsid w:val="5BDE03CE"/>
    <w:rsid w:val="5BDE1F7C"/>
    <w:rsid w:val="5BDF13B3"/>
    <w:rsid w:val="5BE46401"/>
    <w:rsid w:val="5BE500E9"/>
    <w:rsid w:val="5BE87C6D"/>
    <w:rsid w:val="5BEB13EE"/>
    <w:rsid w:val="5BED6B4D"/>
    <w:rsid w:val="5BED775E"/>
    <w:rsid w:val="5BEF1728"/>
    <w:rsid w:val="5BF01305"/>
    <w:rsid w:val="5BF15C0E"/>
    <w:rsid w:val="5BF24C58"/>
    <w:rsid w:val="5BF50A4C"/>
    <w:rsid w:val="5BF64864"/>
    <w:rsid w:val="5BF84A80"/>
    <w:rsid w:val="5BFB4378"/>
    <w:rsid w:val="5BFE7BBD"/>
    <w:rsid w:val="5C001B87"/>
    <w:rsid w:val="5C0452CC"/>
    <w:rsid w:val="5C0635A9"/>
    <w:rsid w:val="5C07359E"/>
    <w:rsid w:val="5C082425"/>
    <w:rsid w:val="5C082940"/>
    <w:rsid w:val="5C0870DF"/>
    <w:rsid w:val="5C0C22DA"/>
    <w:rsid w:val="5C117138"/>
    <w:rsid w:val="5C1271C4"/>
    <w:rsid w:val="5C142F3C"/>
    <w:rsid w:val="5C181661"/>
    <w:rsid w:val="5C1B1137"/>
    <w:rsid w:val="5C1B2E5D"/>
    <w:rsid w:val="5C1E200D"/>
    <w:rsid w:val="5C1E3DBB"/>
    <w:rsid w:val="5C1F3EA7"/>
    <w:rsid w:val="5C1F48CB"/>
    <w:rsid w:val="5C21628F"/>
    <w:rsid w:val="5C25339C"/>
    <w:rsid w:val="5C270EC2"/>
    <w:rsid w:val="5C294C3A"/>
    <w:rsid w:val="5C2A3AD8"/>
    <w:rsid w:val="5C2D68AB"/>
    <w:rsid w:val="5C311B47"/>
    <w:rsid w:val="5C327531"/>
    <w:rsid w:val="5C362E65"/>
    <w:rsid w:val="5C3929A3"/>
    <w:rsid w:val="5C3A3DBE"/>
    <w:rsid w:val="5C3A62DE"/>
    <w:rsid w:val="5C3D0FD3"/>
    <w:rsid w:val="5C3D77E7"/>
    <w:rsid w:val="5C3E4B0E"/>
    <w:rsid w:val="5C472530"/>
    <w:rsid w:val="5C480E38"/>
    <w:rsid w:val="5C494184"/>
    <w:rsid w:val="5C4952DC"/>
    <w:rsid w:val="5C4A013A"/>
    <w:rsid w:val="5C4C6CC1"/>
    <w:rsid w:val="5C4D1C35"/>
    <w:rsid w:val="5C4F5512"/>
    <w:rsid w:val="5C537F09"/>
    <w:rsid w:val="5C545736"/>
    <w:rsid w:val="5C556968"/>
    <w:rsid w:val="5C5E240A"/>
    <w:rsid w:val="5C5F65F9"/>
    <w:rsid w:val="5C637F38"/>
    <w:rsid w:val="5C643EC4"/>
    <w:rsid w:val="5C6739B4"/>
    <w:rsid w:val="5C677061"/>
    <w:rsid w:val="5C6A1477"/>
    <w:rsid w:val="5C6A4924"/>
    <w:rsid w:val="5C6D683B"/>
    <w:rsid w:val="5C6F000F"/>
    <w:rsid w:val="5C6F7098"/>
    <w:rsid w:val="5C7165E1"/>
    <w:rsid w:val="5C7270A4"/>
    <w:rsid w:val="5C7659A5"/>
    <w:rsid w:val="5C786D3D"/>
    <w:rsid w:val="5C797D89"/>
    <w:rsid w:val="5C7A5495"/>
    <w:rsid w:val="5C7B6AF8"/>
    <w:rsid w:val="5C7E75B7"/>
    <w:rsid w:val="5C824A95"/>
    <w:rsid w:val="5C8400C2"/>
    <w:rsid w:val="5C886122"/>
    <w:rsid w:val="5C8A1095"/>
    <w:rsid w:val="5C8B76A2"/>
    <w:rsid w:val="5C8D7CB3"/>
    <w:rsid w:val="5C8E0F41"/>
    <w:rsid w:val="5C902F0B"/>
    <w:rsid w:val="5C904E77"/>
    <w:rsid w:val="5C924405"/>
    <w:rsid w:val="5C9353CF"/>
    <w:rsid w:val="5C9519AF"/>
    <w:rsid w:val="5C961BA3"/>
    <w:rsid w:val="5C9A1282"/>
    <w:rsid w:val="5C9A5B38"/>
    <w:rsid w:val="5C9D3BC3"/>
    <w:rsid w:val="5C9E3C9E"/>
    <w:rsid w:val="5C9F7DF2"/>
    <w:rsid w:val="5CA20F68"/>
    <w:rsid w:val="5CAB5170"/>
    <w:rsid w:val="5CAC13C7"/>
    <w:rsid w:val="5CAC1D96"/>
    <w:rsid w:val="5CAC593F"/>
    <w:rsid w:val="5CAE15E3"/>
    <w:rsid w:val="5CAE7E7D"/>
    <w:rsid w:val="5CB10ACF"/>
    <w:rsid w:val="5CB12E81"/>
    <w:rsid w:val="5CB87D6C"/>
    <w:rsid w:val="5CB925B4"/>
    <w:rsid w:val="5CBA3AE4"/>
    <w:rsid w:val="5CBD0C10"/>
    <w:rsid w:val="5CBE36C0"/>
    <w:rsid w:val="5CC11316"/>
    <w:rsid w:val="5CC37025"/>
    <w:rsid w:val="5CC42BB4"/>
    <w:rsid w:val="5CC54A9A"/>
    <w:rsid w:val="5CC76057"/>
    <w:rsid w:val="5CC86700"/>
    <w:rsid w:val="5CC919FB"/>
    <w:rsid w:val="5CCA2F37"/>
    <w:rsid w:val="5CCE758F"/>
    <w:rsid w:val="5CCF2306"/>
    <w:rsid w:val="5CD01E66"/>
    <w:rsid w:val="5CD81D91"/>
    <w:rsid w:val="5CD90854"/>
    <w:rsid w:val="5CDA4186"/>
    <w:rsid w:val="5CDC1CAC"/>
    <w:rsid w:val="5CDD77D2"/>
    <w:rsid w:val="5CDF354A"/>
    <w:rsid w:val="5CE40B61"/>
    <w:rsid w:val="5CE509A3"/>
    <w:rsid w:val="5CE57D14"/>
    <w:rsid w:val="5CE955B6"/>
    <w:rsid w:val="5CEB2FD7"/>
    <w:rsid w:val="5CEC5C67"/>
    <w:rsid w:val="5CEE0EFF"/>
    <w:rsid w:val="5CEE378D"/>
    <w:rsid w:val="5CF32036"/>
    <w:rsid w:val="5CF3416C"/>
    <w:rsid w:val="5CF37D15"/>
    <w:rsid w:val="5CF4021F"/>
    <w:rsid w:val="5CF41491"/>
    <w:rsid w:val="5CF54B1C"/>
    <w:rsid w:val="5CF75A42"/>
    <w:rsid w:val="5CF8460C"/>
    <w:rsid w:val="5CFA3F49"/>
    <w:rsid w:val="5CFC40FC"/>
    <w:rsid w:val="5CFD1C22"/>
    <w:rsid w:val="5CFD7E74"/>
    <w:rsid w:val="5CFE7465"/>
    <w:rsid w:val="5D0336DD"/>
    <w:rsid w:val="5D057E4B"/>
    <w:rsid w:val="5D0631CD"/>
    <w:rsid w:val="5D065D2B"/>
    <w:rsid w:val="5D0949BD"/>
    <w:rsid w:val="5D0B174A"/>
    <w:rsid w:val="5D0D3F56"/>
    <w:rsid w:val="5D0D4628"/>
    <w:rsid w:val="5D0E3E30"/>
    <w:rsid w:val="5D0E7DEF"/>
    <w:rsid w:val="5D123920"/>
    <w:rsid w:val="5D134047"/>
    <w:rsid w:val="5D141FDA"/>
    <w:rsid w:val="5D145831"/>
    <w:rsid w:val="5D146DCB"/>
    <w:rsid w:val="5D1538E2"/>
    <w:rsid w:val="5D161505"/>
    <w:rsid w:val="5D164E3B"/>
    <w:rsid w:val="5D165DC5"/>
    <w:rsid w:val="5D192F00"/>
    <w:rsid w:val="5D1967D3"/>
    <w:rsid w:val="5D1C3F8C"/>
    <w:rsid w:val="5D1C479E"/>
    <w:rsid w:val="5D1D6076"/>
    <w:rsid w:val="5D1F2B89"/>
    <w:rsid w:val="5D2418A5"/>
    <w:rsid w:val="5D244DA5"/>
    <w:rsid w:val="5D2504B6"/>
    <w:rsid w:val="5D255583"/>
    <w:rsid w:val="5D2578B0"/>
    <w:rsid w:val="5D274991"/>
    <w:rsid w:val="5D2D69AC"/>
    <w:rsid w:val="5D362380"/>
    <w:rsid w:val="5D376253"/>
    <w:rsid w:val="5D382B99"/>
    <w:rsid w:val="5D3D5B9D"/>
    <w:rsid w:val="5D4055D8"/>
    <w:rsid w:val="5D45417D"/>
    <w:rsid w:val="5D4810F0"/>
    <w:rsid w:val="5D487342"/>
    <w:rsid w:val="5D4C199C"/>
    <w:rsid w:val="5D4C465A"/>
    <w:rsid w:val="5D4C7460"/>
    <w:rsid w:val="5D4D6706"/>
    <w:rsid w:val="5D4E6620"/>
    <w:rsid w:val="5D5057DD"/>
    <w:rsid w:val="5D5201C0"/>
    <w:rsid w:val="5D527F72"/>
    <w:rsid w:val="5D55380D"/>
    <w:rsid w:val="5D573DC1"/>
    <w:rsid w:val="5D5F1410"/>
    <w:rsid w:val="5D6063DD"/>
    <w:rsid w:val="5D636215"/>
    <w:rsid w:val="5D6708C2"/>
    <w:rsid w:val="5D683540"/>
    <w:rsid w:val="5D6879E4"/>
    <w:rsid w:val="5D697E26"/>
    <w:rsid w:val="5D6B1282"/>
    <w:rsid w:val="5D6F2FCC"/>
    <w:rsid w:val="5D746389"/>
    <w:rsid w:val="5D7A3273"/>
    <w:rsid w:val="5D7B50E3"/>
    <w:rsid w:val="5D7F5A4C"/>
    <w:rsid w:val="5D7F68F1"/>
    <w:rsid w:val="5D7F6ADB"/>
    <w:rsid w:val="5D812854"/>
    <w:rsid w:val="5D833A1D"/>
    <w:rsid w:val="5D8440F2"/>
    <w:rsid w:val="5D8722AB"/>
    <w:rsid w:val="5D8D51AB"/>
    <w:rsid w:val="5D93525D"/>
    <w:rsid w:val="5D944A7F"/>
    <w:rsid w:val="5D945FC3"/>
    <w:rsid w:val="5DA35223"/>
    <w:rsid w:val="5DA426E1"/>
    <w:rsid w:val="5DA547A2"/>
    <w:rsid w:val="5DA55C42"/>
    <w:rsid w:val="5DA576F8"/>
    <w:rsid w:val="5DA73867"/>
    <w:rsid w:val="5DA9130A"/>
    <w:rsid w:val="5DAB687E"/>
    <w:rsid w:val="5DAE7C91"/>
    <w:rsid w:val="5DAF73C1"/>
    <w:rsid w:val="5DB03139"/>
    <w:rsid w:val="5DB22A0D"/>
    <w:rsid w:val="5DB46785"/>
    <w:rsid w:val="5DB47C34"/>
    <w:rsid w:val="5DB6074F"/>
    <w:rsid w:val="5DB71963"/>
    <w:rsid w:val="5DB7758B"/>
    <w:rsid w:val="5DB91FED"/>
    <w:rsid w:val="5DBC1ADE"/>
    <w:rsid w:val="5DBD2502"/>
    <w:rsid w:val="5DBE7179"/>
    <w:rsid w:val="5DC11FE8"/>
    <w:rsid w:val="5DC414CC"/>
    <w:rsid w:val="5DC61357"/>
    <w:rsid w:val="5DCB31FC"/>
    <w:rsid w:val="5DCB77FB"/>
    <w:rsid w:val="5DCC6AAC"/>
    <w:rsid w:val="5DD106D3"/>
    <w:rsid w:val="5DD35DD3"/>
    <w:rsid w:val="5DD617DB"/>
    <w:rsid w:val="5DD6668C"/>
    <w:rsid w:val="5DD9443E"/>
    <w:rsid w:val="5DDC3F2E"/>
    <w:rsid w:val="5DDC6F99"/>
    <w:rsid w:val="5DDE7CA6"/>
    <w:rsid w:val="5DDE7CC4"/>
    <w:rsid w:val="5DDF01A7"/>
    <w:rsid w:val="5DE11544"/>
    <w:rsid w:val="5DE2598D"/>
    <w:rsid w:val="5DE27796"/>
    <w:rsid w:val="5DE84681"/>
    <w:rsid w:val="5DEA6105"/>
    <w:rsid w:val="5DED533F"/>
    <w:rsid w:val="5DEE02FC"/>
    <w:rsid w:val="5DEE31E9"/>
    <w:rsid w:val="5DEE37CD"/>
    <w:rsid w:val="5DF00FBB"/>
    <w:rsid w:val="5DF44110"/>
    <w:rsid w:val="5DF571BA"/>
    <w:rsid w:val="5DF63241"/>
    <w:rsid w:val="5DF66D9E"/>
    <w:rsid w:val="5DF7682E"/>
    <w:rsid w:val="5DFB44AE"/>
    <w:rsid w:val="5E025E27"/>
    <w:rsid w:val="5E0A55A5"/>
    <w:rsid w:val="5E0B4BE0"/>
    <w:rsid w:val="5E1167B2"/>
    <w:rsid w:val="5E135BA1"/>
    <w:rsid w:val="5E145476"/>
    <w:rsid w:val="5E172CE0"/>
    <w:rsid w:val="5E175534"/>
    <w:rsid w:val="5E182A6B"/>
    <w:rsid w:val="5E1834C8"/>
    <w:rsid w:val="5E1C432A"/>
    <w:rsid w:val="5E1C7252"/>
    <w:rsid w:val="5E1D07CE"/>
    <w:rsid w:val="5E1E1756"/>
    <w:rsid w:val="5E20206C"/>
    <w:rsid w:val="5E2248F9"/>
    <w:rsid w:val="5E23390B"/>
    <w:rsid w:val="5E235B63"/>
    <w:rsid w:val="5E246C58"/>
    <w:rsid w:val="5E282CCF"/>
    <w:rsid w:val="5E2A2574"/>
    <w:rsid w:val="5E2C27BF"/>
    <w:rsid w:val="5E2C6C63"/>
    <w:rsid w:val="5E2D3098"/>
    <w:rsid w:val="5E304CED"/>
    <w:rsid w:val="5E30598C"/>
    <w:rsid w:val="5E3569BD"/>
    <w:rsid w:val="5E3653EC"/>
    <w:rsid w:val="5E372234"/>
    <w:rsid w:val="5E38429D"/>
    <w:rsid w:val="5E3B1C05"/>
    <w:rsid w:val="5E3C36B1"/>
    <w:rsid w:val="5E3E0745"/>
    <w:rsid w:val="5E421FE3"/>
    <w:rsid w:val="5E443FAD"/>
    <w:rsid w:val="5E483F1E"/>
    <w:rsid w:val="5E512226"/>
    <w:rsid w:val="5E541D16"/>
    <w:rsid w:val="5E547F68"/>
    <w:rsid w:val="5E56783C"/>
    <w:rsid w:val="5E5835B4"/>
    <w:rsid w:val="5E584A11"/>
    <w:rsid w:val="5E5B4E53"/>
    <w:rsid w:val="5E5F5B41"/>
    <w:rsid w:val="5E604B5F"/>
    <w:rsid w:val="5E607025"/>
    <w:rsid w:val="5E6746F1"/>
    <w:rsid w:val="5E6A21AC"/>
    <w:rsid w:val="5E6C52B2"/>
    <w:rsid w:val="5E7070FE"/>
    <w:rsid w:val="5E7160DA"/>
    <w:rsid w:val="5E734892"/>
    <w:rsid w:val="5E751CF3"/>
    <w:rsid w:val="5E79352B"/>
    <w:rsid w:val="5E7A02F1"/>
    <w:rsid w:val="5E7E290F"/>
    <w:rsid w:val="5E8336C9"/>
    <w:rsid w:val="5E84084D"/>
    <w:rsid w:val="5E88479C"/>
    <w:rsid w:val="5E8A4B0D"/>
    <w:rsid w:val="5E8A56FD"/>
    <w:rsid w:val="5E8C5954"/>
    <w:rsid w:val="5E8D7E0E"/>
    <w:rsid w:val="5E8E347A"/>
    <w:rsid w:val="5E9054C2"/>
    <w:rsid w:val="5E916624"/>
    <w:rsid w:val="5E937BCB"/>
    <w:rsid w:val="5E9523CD"/>
    <w:rsid w:val="5E954808"/>
    <w:rsid w:val="5E991813"/>
    <w:rsid w:val="5E99597B"/>
    <w:rsid w:val="5E9B5B97"/>
    <w:rsid w:val="5E9D546B"/>
    <w:rsid w:val="5EA9154C"/>
    <w:rsid w:val="5EAA625E"/>
    <w:rsid w:val="5EAA772F"/>
    <w:rsid w:val="5EAB5C36"/>
    <w:rsid w:val="5EAD3F7D"/>
    <w:rsid w:val="5EB86749"/>
    <w:rsid w:val="5EB90812"/>
    <w:rsid w:val="5EBA0E6C"/>
    <w:rsid w:val="5EBC111F"/>
    <w:rsid w:val="5EBD3CCB"/>
    <w:rsid w:val="5EC01582"/>
    <w:rsid w:val="5EC21679"/>
    <w:rsid w:val="5EC21CA9"/>
    <w:rsid w:val="5EC450EE"/>
    <w:rsid w:val="5EC549C2"/>
    <w:rsid w:val="5EC7698C"/>
    <w:rsid w:val="5EC7731B"/>
    <w:rsid w:val="5EC9275E"/>
    <w:rsid w:val="5ED11E01"/>
    <w:rsid w:val="5ED555F2"/>
    <w:rsid w:val="5ED63256"/>
    <w:rsid w:val="5ED71660"/>
    <w:rsid w:val="5EDA046D"/>
    <w:rsid w:val="5EDA51F5"/>
    <w:rsid w:val="5EDB3269"/>
    <w:rsid w:val="5EDB32C1"/>
    <w:rsid w:val="5EDD1D0C"/>
    <w:rsid w:val="5EDE7A83"/>
    <w:rsid w:val="5EDF08EF"/>
    <w:rsid w:val="5EE051AF"/>
    <w:rsid w:val="5EEB1973"/>
    <w:rsid w:val="5EEC703B"/>
    <w:rsid w:val="5EED090C"/>
    <w:rsid w:val="5EEE216B"/>
    <w:rsid w:val="5EEF4232"/>
    <w:rsid w:val="5EF07C91"/>
    <w:rsid w:val="5EF13A09"/>
    <w:rsid w:val="5EF4181F"/>
    <w:rsid w:val="5EF70AF7"/>
    <w:rsid w:val="5EF84D97"/>
    <w:rsid w:val="5EF944CD"/>
    <w:rsid w:val="5EFB592B"/>
    <w:rsid w:val="5EFC227F"/>
    <w:rsid w:val="5EFC2E4E"/>
    <w:rsid w:val="5EFD4295"/>
    <w:rsid w:val="5EFF6126"/>
    <w:rsid w:val="5F041A8F"/>
    <w:rsid w:val="5F046C50"/>
    <w:rsid w:val="5F056023"/>
    <w:rsid w:val="5F095452"/>
    <w:rsid w:val="5F0F16FD"/>
    <w:rsid w:val="5F0F4BD8"/>
    <w:rsid w:val="5F131BD1"/>
    <w:rsid w:val="5F1419C4"/>
    <w:rsid w:val="5F142895"/>
    <w:rsid w:val="5F1514A5"/>
    <w:rsid w:val="5F155949"/>
    <w:rsid w:val="5F1576F7"/>
    <w:rsid w:val="5F170A4C"/>
    <w:rsid w:val="5F192810"/>
    <w:rsid w:val="5F1B17D5"/>
    <w:rsid w:val="5F1C2834"/>
    <w:rsid w:val="5F1C4B60"/>
    <w:rsid w:val="5F1D6218"/>
    <w:rsid w:val="5F24793A"/>
    <w:rsid w:val="5F285182"/>
    <w:rsid w:val="5F285517"/>
    <w:rsid w:val="5F290747"/>
    <w:rsid w:val="5F294F51"/>
    <w:rsid w:val="5F2B65BA"/>
    <w:rsid w:val="5F335AED"/>
    <w:rsid w:val="5F364AB1"/>
    <w:rsid w:val="5F3952BB"/>
    <w:rsid w:val="5F3C55E0"/>
    <w:rsid w:val="5F3D27AA"/>
    <w:rsid w:val="5F3E6C4E"/>
    <w:rsid w:val="5F3F4774"/>
    <w:rsid w:val="5F4234CD"/>
    <w:rsid w:val="5F453242"/>
    <w:rsid w:val="5F461671"/>
    <w:rsid w:val="5F49114F"/>
    <w:rsid w:val="5F492A07"/>
    <w:rsid w:val="5F4D50E3"/>
    <w:rsid w:val="5F4F6756"/>
    <w:rsid w:val="5F511076"/>
    <w:rsid w:val="5F533B69"/>
    <w:rsid w:val="5F56053A"/>
    <w:rsid w:val="5F5640C2"/>
    <w:rsid w:val="5F5A335C"/>
    <w:rsid w:val="5F5C0E82"/>
    <w:rsid w:val="5F5C1A74"/>
    <w:rsid w:val="5F5E21EA"/>
    <w:rsid w:val="5F630463"/>
    <w:rsid w:val="5F635B4A"/>
    <w:rsid w:val="5F64242D"/>
    <w:rsid w:val="5F645C03"/>
    <w:rsid w:val="5F671B21"/>
    <w:rsid w:val="5F683CCB"/>
    <w:rsid w:val="5F690BCA"/>
    <w:rsid w:val="5F6B016D"/>
    <w:rsid w:val="5F6B7317"/>
    <w:rsid w:val="5F6E0BB6"/>
    <w:rsid w:val="5F6E6E08"/>
    <w:rsid w:val="5F71471F"/>
    <w:rsid w:val="5F7225F5"/>
    <w:rsid w:val="5F73441E"/>
    <w:rsid w:val="5F734C5E"/>
    <w:rsid w:val="5F744410"/>
    <w:rsid w:val="5F775CBC"/>
    <w:rsid w:val="5F79081A"/>
    <w:rsid w:val="5F7A755A"/>
    <w:rsid w:val="5F7C7776"/>
    <w:rsid w:val="5F8914A0"/>
    <w:rsid w:val="5F8B79B9"/>
    <w:rsid w:val="5F8D4FB7"/>
    <w:rsid w:val="5F8D65E5"/>
    <w:rsid w:val="5F8E7744"/>
    <w:rsid w:val="5F90494E"/>
    <w:rsid w:val="5F906B3B"/>
    <w:rsid w:val="5F911E27"/>
    <w:rsid w:val="5F947E97"/>
    <w:rsid w:val="5F9508BC"/>
    <w:rsid w:val="5F9A63EF"/>
    <w:rsid w:val="5F9E767D"/>
    <w:rsid w:val="5F9F3465"/>
    <w:rsid w:val="5FA61876"/>
    <w:rsid w:val="5FA82319"/>
    <w:rsid w:val="5FAB1E0A"/>
    <w:rsid w:val="5FAD7930"/>
    <w:rsid w:val="5FB56022"/>
    <w:rsid w:val="5FB66181"/>
    <w:rsid w:val="5FB91D8F"/>
    <w:rsid w:val="5FBF1411"/>
    <w:rsid w:val="5FC1162D"/>
    <w:rsid w:val="5FC133DB"/>
    <w:rsid w:val="5FC228FB"/>
    <w:rsid w:val="5FCD0940"/>
    <w:rsid w:val="5FD01870"/>
    <w:rsid w:val="5FD214C4"/>
    <w:rsid w:val="5FD805BF"/>
    <w:rsid w:val="5FDA624B"/>
    <w:rsid w:val="5FDC0AAF"/>
    <w:rsid w:val="5FDD6EA0"/>
    <w:rsid w:val="5FDE21DF"/>
    <w:rsid w:val="5FE30642"/>
    <w:rsid w:val="5FE61094"/>
    <w:rsid w:val="5FEA20BE"/>
    <w:rsid w:val="5FEA46E0"/>
    <w:rsid w:val="5FEA7EBE"/>
    <w:rsid w:val="5FEB0458"/>
    <w:rsid w:val="5FEB1832"/>
    <w:rsid w:val="5FEB3E16"/>
    <w:rsid w:val="5FEB7091"/>
    <w:rsid w:val="5FED1EE0"/>
    <w:rsid w:val="5FED2422"/>
    <w:rsid w:val="5FEF494B"/>
    <w:rsid w:val="5FF81A09"/>
    <w:rsid w:val="5FF851B1"/>
    <w:rsid w:val="5FF94923"/>
    <w:rsid w:val="5FFF4581"/>
    <w:rsid w:val="5FFF678B"/>
    <w:rsid w:val="60011A2A"/>
    <w:rsid w:val="60065292"/>
    <w:rsid w:val="6009750E"/>
    <w:rsid w:val="600B28A8"/>
    <w:rsid w:val="600C50AD"/>
    <w:rsid w:val="6014239F"/>
    <w:rsid w:val="60190990"/>
    <w:rsid w:val="60191010"/>
    <w:rsid w:val="601C6864"/>
    <w:rsid w:val="601D2D07"/>
    <w:rsid w:val="60220F90"/>
    <w:rsid w:val="60237BF2"/>
    <w:rsid w:val="602513F9"/>
    <w:rsid w:val="602C4CF9"/>
    <w:rsid w:val="602E1882"/>
    <w:rsid w:val="60300291"/>
    <w:rsid w:val="603040BD"/>
    <w:rsid w:val="603323C6"/>
    <w:rsid w:val="60335C18"/>
    <w:rsid w:val="60362877"/>
    <w:rsid w:val="60363DC9"/>
    <w:rsid w:val="6038415D"/>
    <w:rsid w:val="603B0728"/>
    <w:rsid w:val="603E3FBC"/>
    <w:rsid w:val="603F2E02"/>
    <w:rsid w:val="60424341"/>
    <w:rsid w:val="60424790"/>
    <w:rsid w:val="60432042"/>
    <w:rsid w:val="60455DBA"/>
    <w:rsid w:val="60460101"/>
    <w:rsid w:val="604A0E3B"/>
    <w:rsid w:val="604A517F"/>
    <w:rsid w:val="604B415E"/>
    <w:rsid w:val="604C3996"/>
    <w:rsid w:val="604F1084"/>
    <w:rsid w:val="6052584A"/>
    <w:rsid w:val="60593614"/>
    <w:rsid w:val="60603779"/>
    <w:rsid w:val="60642FC2"/>
    <w:rsid w:val="606815CB"/>
    <w:rsid w:val="60684741"/>
    <w:rsid w:val="606A5821"/>
    <w:rsid w:val="606C6966"/>
    <w:rsid w:val="6070184B"/>
    <w:rsid w:val="60713D4C"/>
    <w:rsid w:val="60725088"/>
    <w:rsid w:val="60731536"/>
    <w:rsid w:val="60741CA4"/>
    <w:rsid w:val="607A720E"/>
    <w:rsid w:val="607B7049"/>
    <w:rsid w:val="607C7BD5"/>
    <w:rsid w:val="607D3E4F"/>
    <w:rsid w:val="607E36BF"/>
    <w:rsid w:val="607E6B15"/>
    <w:rsid w:val="607E6C0D"/>
    <w:rsid w:val="607E751E"/>
    <w:rsid w:val="60805044"/>
    <w:rsid w:val="60820DBC"/>
    <w:rsid w:val="60866D05"/>
    <w:rsid w:val="60885CA7"/>
    <w:rsid w:val="608C31E1"/>
    <w:rsid w:val="608E7761"/>
    <w:rsid w:val="608F63C1"/>
    <w:rsid w:val="6095322D"/>
    <w:rsid w:val="6096287A"/>
    <w:rsid w:val="60981300"/>
    <w:rsid w:val="6098413C"/>
    <w:rsid w:val="609A4358"/>
    <w:rsid w:val="609B08B0"/>
    <w:rsid w:val="609B1E7E"/>
    <w:rsid w:val="609D27E9"/>
    <w:rsid w:val="609D6F67"/>
    <w:rsid w:val="609D7273"/>
    <w:rsid w:val="609E085F"/>
    <w:rsid w:val="609E0ECD"/>
    <w:rsid w:val="609E415A"/>
    <w:rsid w:val="60A056E7"/>
    <w:rsid w:val="60A07669"/>
    <w:rsid w:val="60A65D02"/>
    <w:rsid w:val="60A8044F"/>
    <w:rsid w:val="60AC5A51"/>
    <w:rsid w:val="60B46517"/>
    <w:rsid w:val="60B66CB8"/>
    <w:rsid w:val="60BB607C"/>
    <w:rsid w:val="60BC0A2C"/>
    <w:rsid w:val="60BD0580"/>
    <w:rsid w:val="60C002A1"/>
    <w:rsid w:val="60C16F3B"/>
    <w:rsid w:val="60C52D5B"/>
    <w:rsid w:val="60C6045E"/>
    <w:rsid w:val="60C60F03"/>
    <w:rsid w:val="60C9420B"/>
    <w:rsid w:val="60C95D9F"/>
    <w:rsid w:val="60CA2CAA"/>
    <w:rsid w:val="60CA4511"/>
    <w:rsid w:val="60CA58A3"/>
    <w:rsid w:val="60CC5E65"/>
    <w:rsid w:val="60CD4397"/>
    <w:rsid w:val="60D121A3"/>
    <w:rsid w:val="60D252B9"/>
    <w:rsid w:val="60D333C6"/>
    <w:rsid w:val="60D3786A"/>
    <w:rsid w:val="60D62EB6"/>
    <w:rsid w:val="60D84E80"/>
    <w:rsid w:val="60D86C2E"/>
    <w:rsid w:val="60DB59ED"/>
    <w:rsid w:val="60DB600C"/>
    <w:rsid w:val="60DF3D03"/>
    <w:rsid w:val="60E07891"/>
    <w:rsid w:val="60E23609"/>
    <w:rsid w:val="60E46363"/>
    <w:rsid w:val="60E90163"/>
    <w:rsid w:val="60E90E3C"/>
    <w:rsid w:val="60F11A9E"/>
    <w:rsid w:val="60F15F42"/>
    <w:rsid w:val="60F63558"/>
    <w:rsid w:val="60F703C0"/>
    <w:rsid w:val="60F8107F"/>
    <w:rsid w:val="60FA40B3"/>
    <w:rsid w:val="60FF357B"/>
    <w:rsid w:val="60FF5DEE"/>
    <w:rsid w:val="61001CE1"/>
    <w:rsid w:val="61021EFD"/>
    <w:rsid w:val="61045DE6"/>
    <w:rsid w:val="61047A23"/>
    <w:rsid w:val="61060861"/>
    <w:rsid w:val="61076FCB"/>
    <w:rsid w:val="6111789A"/>
    <w:rsid w:val="611532BA"/>
    <w:rsid w:val="61162F13"/>
    <w:rsid w:val="61167757"/>
    <w:rsid w:val="611807AB"/>
    <w:rsid w:val="61186C5D"/>
    <w:rsid w:val="611A0FF5"/>
    <w:rsid w:val="611A575B"/>
    <w:rsid w:val="612023C6"/>
    <w:rsid w:val="61241E74"/>
    <w:rsid w:val="6126638F"/>
    <w:rsid w:val="6127325C"/>
    <w:rsid w:val="612A03DA"/>
    <w:rsid w:val="612A4D70"/>
    <w:rsid w:val="612A5BE7"/>
    <w:rsid w:val="612B1454"/>
    <w:rsid w:val="612C7893"/>
    <w:rsid w:val="612D1472"/>
    <w:rsid w:val="612E2866"/>
    <w:rsid w:val="61330309"/>
    <w:rsid w:val="613311F7"/>
    <w:rsid w:val="613320B7"/>
    <w:rsid w:val="613528A4"/>
    <w:rsid w:val="613535C9"/>
    <w:rsid w:val="6136759A"/>
    <w:rsid w:val="61367E06"/>
    <w:rsid w:val="61381225"/>
    <w:rsid w:val="613D52DC"/>
    <w:rsid w:val="613E1D4B"/>
    <w:rsid w:val="6146003C"/>
    <w:rsid w:val="61477910"/>
    <w:rsid w:val="614C4F26"/>
    <w:rsid w:val="614D2707"/>
    <w:rsid w:val="61504A17"/>
    <w:rsid w:val="615304FE"/>
    <w:rsid w:val="615324CA"/>
    <w:rsid w:val="6157144F"/>
    <w:rsid w:val="61573760"/>
    <w:rsid w:val="61573FF7"/>
    <w:rsid w:val="615954AA"/>
    <w:rsid w:val="615C160D"/>
    <w:rsid w:val="615D7134"/>
    <w:rsid w:val="615E182A"/>
    <w:rsid w:val="615F2EAC"/>
    <w:rsid w:val="615F6222"/>
    <w:rsid w:val="61681B8B"/>
    <w:rsid w:val="61695AD8"/>
    <w:rsid w:val="61726FF9"/>
    <w:rsid w:val="617701F5"/>
    <w:rsid w:val="61776447"/>
    <w:rsid w:val="61783F6D"/>
    <w:rsid w:val="61785D1C"/>
    <w:rsid w:val="617B6DCB"/>
    <w:rsid w:val="617F0712"/>
    <w:rsid w:val="61804EE1"/>
    <w:rsid w:val="61842912"/>
    <w:rsid w:val="61870A0B"/>
    <w:rsid w:val="6188286A"/>
    <w:rsid w:val="618D133D"/>
    <w:rsid w:val="618E553F"/>
    <w:rsid w:val="61904B20"/>
    <w:rsid w:val="61926DDD"/>
    <w:rsid w:val="619278FD"/>
    <w:rsid w:val="61952F29"/>
    <w:rsid w:val="61985EAA"/>
    <w:rsid w:val="619C1E94"/>
    <w:rsid w:val="619D5782"/>
    <w:rsid w:val="619E0691"/>
    <w:rsid w:val="619F14FA"/>
    <w:rsid w:val="61A22D98"/>
    <w:rsid w:val="61A42FB4"/>
    <w:rsid w:val="61AB60F1"/>
    <w:rsid w:val="61AD1E69"/>
    <w:rsid w:val="61B256D1"/>
    <w:rsid w:val="61B35D49"/>
    <w:rsid w:val="61B431F8"/>
    <w:rsid w:val="61B77A8F"/>
    <w:rsid w:val="61B967D4"/>
    <w:rsid w:val="61BC4557"/>
    <w:rsid w:val="61BC46E9"/>
    <w:rsid w:val="61BD3787"/>
    <w:rsid w:val="61C13B66"/>
    <w:rsid w:val="61C16362"/>
    <w:rsid w:val="61C53CA0"/>
    <w:rsid w:val="61C55450"/>
    <w:rsid w:val="61C565C4"/>
    <w:rsid w:val="61C766D8"/>
    <w:rsid w:val="61CB6914"/>
    <w:rsid w:val="61CC78D6"/>
    <w:rsid w:val="61D03DA9"/>
    <w:rsid w:val="61D07906"/>
    <w:rsid w:val="61D23CBF"/>
    <w:rsid w:val="61D45648"/>
    <w:rsid w:val="61D54F1C"/>
    <w:rsid w:val="61D73582"/>
    <w:rsid w:val="61DA0784"/>
    <w:rsid w:val="61DB2AF9"/>
    <w:rsid w:val="61DD76E6"/>
    <w:rsid w:val="61DE0274"/>
    <w:rsid w:val="61DE2022"/>
    <w:rsid w:val="61E031B0"/>
    <w:rsid w:val="61E15E5A"/>
    <w:rsid w:val="61E3588B"/>
    <w:rsid w:val="61E40207"/>
    <w:rsid w:val="61E57855"/>
    <w:rsid w:val="61EB0BE3"/>
    <w:rsid w:val="61EB585F"/>
    <w:rsid w:val="61ED3E04"/>
    <w:rsid w:val="61ED4D94"/>
    <w:rsid w:val="61F335F4"/>
    <w:rsid w:val="61F41DEF"/>
    <w:rsid w:val="61F51369"/>
    <w:rsid w:val="61F950AE"/>
    <w:rsid w:val="61FA2BD4"/>
    <w:rsid w:val="61FA4982"/>
    <w:rsid w:val="61FC06FB"/>
    <w:rsid w:val="61FE2C35"/>
    <w:rsid w:val="6203176B"/>
    <w:rsid w:val="62061579"/>
    <w:rsid w:val="62086889"/>
    <w:rsid w:val="621225A1"/>
    <w:rsid w:val="62143C96"/>
    <w:rsid w:val="62154882"/>
    <w:rsid w:val="62157A0E"/>
    <w:rsid w:val="621875FC"/>
    <w:rsid w:val="6219181B"/>
    <w:rsid w:val="6219580C"/>
    <w:rsid w:val="621A6DD3"/>
    <w:rsid w:val="621F759F"/>
    <w:rsid w:val="62200682"/>
    <w:rsid w:val="6220088D"/>
    <w:rsid w:val="62214605"/>
    <w:rsid w:val="62227542"/>
    <w:rsid w:val="6223212B"/>
    <w:rsid w:val="62257C51"/>
    <w:rsid w:val="622A170C"/>
    <w:rsid w:val="622C5484"/>
    <w:rsid w:val="6232236E"/>
    <w:rsid w:val="62327A2D"/>
    <w:rsid w:val="62375BD7"/>
    <w:rsid w:val="62391C3D"/>
    <w:rsid w:val="623954AB"/>
    <w:rsid w:val="623C51AA"/>
    <w:rsid w:val="62402CDD"/>
    <w:rsid w:val="62471DFB"/>
    <w:rsid w:val="624B2169"/>
    <w:rsid w:val="624D4028"/>
    <w:rsid w:val="62514EEA"/>
    <w:rsid w:val="62520AAE"/>
    <w:rsid w:val="6252656D"/>
    <w:rsid w:val="625316F0"/>
    <w:rsid w:val="62550AF8"/>
    <w:rsid w:val="62583338"/>
    <w:rsid w:val="625B18C5"/>
    <w:rsid w:val="625B5D35"/>
    <w:rsid w:val="625D1AE7"/>
    <w:rsid w:val="625D7CC3"/>
    <w:rsid w:val="625E68AE"/>
    <w:rsid w:val="62620EA5"/>
    <w:rsid w:val="626236C7"/>
    <w:rsid w:val="62631716"/>
    <w:rsid w:val="62677DAD"/>
    <w:rsid w:val="62730614"/>
    <w:rsid w:val="6274791D"/>
    <w:rsid w:val="627516C5"/>
    <w:rsid w:val="62755A41"/>
    <w:rsid w:val="6280132C"/>
    <w:rsid w:val="62815C71"/>
    <w:rsid w:val="62893AE2"/>
    <w:rsid w:val="628C46D3"/>
    <w:rsid w:val="628F156F"/>
    <w:rsid w:val="629144AA"/>
    <w:rsid w:val="6292105F"/>
    <w:rsid w:val="62927684"/>
    <w:rsid w:val="62956328"/>
    <w:rsid w:val="62966DA1"/>
    <w:rsid w:val="629A463E"/>
    <w:rsid w:val="62A004CC"/>
    <w:rsid w:val="62A36DC8"/>
    <w:rsid w:val="62A373F8"/>
    <w:rsid w:val="62A53764"/>
    <w:rsid w:val="62A54773"/>
    <w:rsid w:val="62A96AD4"/>
    <w:rsid w:val="62AE0E01"/>
    <w:rsid w:val="62AF2805"/>
    <w:rsid w:val="62B00F25"/>
    <w:rsid w:val="62B31701"/>
    <w:rsid w:val="62B337E3"/>
    <w:rsid w:val="62B33FDB"/>
    <w:rsid w:val="62B40FD5"/>
    <w:rsid w:val="62B44CF5"/>
    <w:rsid w:val="62B63F01"/>
    <w:rsid w:val="62B676EC"/>
    <w:rsid w:val="62BF34C7"/>
    <w:rsid w:val="62C043A6"/>
    <w:rsid w:val="62C531E2"/>
    <w:rsid w:val="62C572AB"/>
    <w:rsid w:val="62C751AC"/>
    <w:rsid w:val="62C87DA1"/>
    <w:rsid w:val="62C92CD3"/>
    <w:rsid w:val="62CA1CFE"/>
    <w:rsid w:val="62CB365A"/>
    <w:rsid w:val="62CE653B"/>
    <w:rsid w:val="62CF5E0F"/>
    <w:rsid w:val="62CF6C45"/>
    <w:rsid w:val="62D2474A"/>
    <w:rsid w:val="62D343AC"/>
    <w:rsid w:val="62DD2A9F"/>
    <w:rsid w:val="62DE42A4"/>
    <w:rsid w:val="62E029FB"/>
    <w:rsid w:val="62E278F0"/>
    <w:rsid w:val="62E27F0A"/>
    <w:rsid w:val="62E418BB"/>
    <w:rsid w:val="62E775FD"/>
    <w:rsid w:val="62E91D6D"/>
    <w:rsid w:val="62EA49F7"/>
    <w:rsid w:val="62EE4E92"/>
    <w:rsid w:val="62F04008"/>
    <w:rsid w:val="62F159FD"/>
    <w:rsid w:val="62F6667A"/>
    <w:rsid w:val="62F67840"/>
    <w:rsid w:val="62F768B6"/>
    <w:rsid w:val="62FE1311"/>
    <w:rsid w:val="62FE73B7"/>
    <w:rsid w:val="6300626F"/>
    <w:rsid w:val="63010494"/>
    <w:rsid w:val="63021D41"/>
    <w:rsid w:val="630309EA"/>
    <w:rsid w:val="63062942"/>
    <w:rsid w:val="63081A0C"/>
    <w:rsid w:val="630E1900"/>
    <w:rsid w:val="631067EB"/>
    <w:rsid w:val="6311467A"/>
    <w:rsid w:val="63121651"/>
    <w:rsid w:val="631368A1"/>
    <w:rsid w:val="63136CED"/>
    <w:rsid w:val="63141250"/>
    <w:rsid w:val="6315416A"/>
    <w:rsid w:val="631552A4"/>
    <w:rsid w:val="631A1780"/>
    <w:rsid w:val="631B30E7"/>
    <w:rsid w:val="631F6A17"/>
    <w:rsid w:val="63224191"/>
    <w:rsid w:val="63251ED3"/>
    <w:rsid w:val="63273E9D"/>
    <w:rsid w:val="632A7091"/>
    <w:rsid w:val="632D1C5E"/>
    <w:rsid w:val="63314950"/>
    <w:rsid w:val="63330A1E"/>
    <w:rsid w:val="63332492"/>
    <w:rsid w:val="63332842"/>
    <w:rsid w:val="63332EAE"/>
    <w:rsid w:val="63343EC4"/>
    <w:rsid w:val="633839B4"/>
    <w:rsid w:val="63387E58"/>
    <w:rsid w:val="633B34A5"/>
    <w:rsid w:val="633D0FCB"/>
    <w:rsid w:val="633E1535"/>
    <w:rsid w:val="63473EB4"/>
    <w:rsid w:val="6347686B"/>
    <w:rsid w:val="634E142A"/>
    <w:rsid w:val="634F62C2"/>
    <w:rsid w:val="635065C2"/>
    <w:rsid w:val="63516881"/>
    <w:rsid w:val="63520F1A"/>
    <w:rsid w:val="6353562C"/>
    <w:rsid w:val="63554566"/>
    <w:rsid w:val="635747B1"/>
    <w:rsid w:val="635A1B7D"/>
    <w:rsid w:val="635D341B"/>
    <w:rsid w:val="635F7193"/>
    <w:rsid w:val="63625E4B"/>
    <w:rsid w:val="63676048"/>
    <w:rsid w:val="636807A4"/>
    <w:rsid w:val="63683782"/>
    <w:rsid w:val="63696264"/>
    <w:rsid w:val="636A3580"/>
    <w:rsid w:val="636D2D9F"/>
    <w:rsid w:val="636E0227"/>
    <w:rsid w:val="636E73D6"/>
    <w:rsid w:val="63705158"/>
    <w:rsid w:val="63725539"/>
    <w:rsid w:val="6373532C"/>
    <w:rsid w:val="63750765"/>
    <w:rsid w:val="63772E79"/>
    <w:rsid w:val="637A0113"/>
    <w:rsid w:val="637A089E"/>
    <w:rsid w:val="637A0D07"/>
    <w:rsid w:val="637B2836"/>
    <w:rsid w:val="637B3409"/>
    <w:rsid w:val="637C5F97"/>
    <w:rsid w:val="637F6CFA"/>
    <w:rsid w:val="63866A5C"/>
    <w:rsid w:val="6388493C"/>
    <w:rsid w:val="638B443A"/>
    <w:rsid w:val="638F34EA"/>
    <w:rsid w:val="6394538A"/>
    <w:rsid w:val="639537D2"/>
    <w:rsid w:val="63965C76"/>
    <w:rsid w:val="639C43C2"/>
    <w:rsid w:val="639D3D2E"/>
    <w:rsid w:val="639D5F0D"/>
    <w:rsid w:val="639F1C85"/>
    <w:rsid w:val="63A1155A"/>
    <w:rsid w:val="63A320E7"/>
    <w:rsid w:val="63A454EE"/>
    <w:rsid w:val="63A45DFC"/>
    <w:rsid w:val="63A53511"/>
    <w:rsid w:val="63A54053"/>
    <w:rsid w:val="63A761D5"/>
    <w:rsid w:val="63AD053B"/>
    <w:rsid w:val="63AE67B1"/>
    <w:rsid w:val="63AF68CF"/>
    <w:rsid w:val="63B1085D"/>
    <w:rsid w:val="63B36A63"/>
    <w:rsid w:val="63B472ED"/>
    <w:rsid w:val="63B533BB"/>
    <w:rsid w:val="63B71DD5"/>
    <w:rsid w:val="63B85064"/>
    <w:rsid w:val="63BB7703"/>
    <w:rsid w:val="63BC2837"/>
    <w:rsid w:val="63C11BFC"/>
    <w:rsid w:val="63C33BC6"/>
    <w:rsid w:val="63C45248"/>
    <w:rsid w:val="63C47161"/>
    <w:rsid w:val="63C62280"/>
    <w:rsid w:val="63C62991"/>
    <w:rsid w:val="63CC6F2E"/>
    <w:rsid w:val="63CE121C"/>
    <w:rsid w:val="63D20CBA"/>
    <w:rsid w:val="63D23E09"/>
    <w:rsid w:val="63D556A7"/>
    <w:rsid w:val="63D674DB"/>
    <w:rsid w:val="63D6798B"/>
    <w:rsid w:val="63D74F7B"/>
    <w:rsid w:val="63D92749"/>
    <w:rsid w:val="63DA4504"/>
    <w:rsid w:val="63DA4A6C"/>
    <w:rsid w:val="63DA7A2D"/>
    <w:rsid w:val="63DB059A"/>
    <w:rsid w:val="63DE27AE"/>
    <w:rsid w:val="63DE380C"/>
    <w:rsid w:val="63DF2082"/>
    <w:rsid w:val="63E1404C"/>
    <w:rsid w:val="63E1627C"/>
    <w:rsid w:val="63E36016"/>
    <w:rsid w:val="63E37DC4"/>
    <w:rsid w:val="63E43B3C"/>
    <w:rsid w:val="63E44F09"/>
    <w:rsid w:val="63E55AAD"/>
    <w:rsid w:val="63E7617C"/>
    <w:rsid w:val="63E81469"/>
    <w:rsid w:val="63E82106"/>
    <w:rsid w:val="63E87188"/>
    <w:rsid w:val="63E91153"/>
    <w:rsid w:val="63E94CAF"/>
    <w:rsid w:val="63ED0C43"/>
    <w:rsid w:val="63ED1EC8"/>
    <w:rsid w:val="63EE1781"/>
    <w:rsid w:val="63EE6876"/>
    <w:rsid w:val="63EF0010"/>
    <w:rsid w:val="63EF49BB"/>
    <w:rsid w:val="63F17433"/>
    <w:rsid w:val="63F64E5D"/>
    <w:rsid w:val="63F66688"/>
    <w:rsid w:val="63FA6EBC"/>
    <w:rsid w:val="63FC0E86"/>
    <w:rsid w:val="63FC2C34"/>
    <w:rsid w:val="63FD7F0E"/>
    <w:rsid w:val="6401294E"/>
    <w:rsid w:val="64050627"/>
    <w:rsid w:val="640642B6"/>
    <w:rsid w:val="640777F8"/>
    <w:rsid w:val="640A1B2E"/>
    <w:rsid w:val="640B0FF3"/>
    <w:rsid w:val="640B2E77"/>
    <w:rsid w:val="640D3105"/>
    <w:rsid w:val="640F0BB9"/>
    <w:rsid w:val="64137C95"/>
    <w:rsid w:val="64137F7D"/>
    <w:rsid w:val="641A755E"/>
    <w:rsid w:val="641B5F97"/>
    <w:rsid w:val="641B6EE9"/>
    <w:rsid w:val="641C7344"/>
    <w:rsid w:val="641E704E"/>
    <w:rsid w:val="641F50FB"/>
    <w:rsid w:val="6420177C"/>
    <w:rsid w:val="64257FD2"/>
    <w:rsid w:val="64265F03"/>
    <w:rsid w:val="642A77A1"/>
    <w:rsid w:val="642B3519"/>
    <w:rsid w:val="642D7291"/>
    <w:rsid w:val="642F0B83"/>
    <w:rsid w:val="643068B7"/>
    <w:rsid w:val="64327BEF"/>
    <w:rsid w:val="64354398"/>
    <w:rsid w:val="64356632"/>
    <w:rsid w:val="6436635B"/>
    <w:rsid w:val="64370594"/>
    <w:rsid w:val="64383B06"/>
    <w:rsid w:val="643965FE"/>
    <w:rsid w:val="643A5A4E"/>
    <w:rsid w:val="643B0A20"/>
    <w:rsid w:val="643B191C"/>
    <w:rsid w:val="643B3E75"/>
    <w:rsid w:val="643B5875"/>
    <w:rsid w:val="643C1F59"/>
    <w:rsid w:val="643E6039"/>
    <w:rsid w:val="643F0D73"/>
    <w:rsid w:val="643F631F"/>
    <w:rsid w:val="64405216"/>
    <w:rsid w:val="64460353"/>
    <w:rsid w:val="64483EDB"/>
    <w:rsid w:val="64495399"/>
    <w:rsid w:val="644C4734"/>
    <w:rsid w:val="64540CC2"/>
    <w:rsid w:val="6456354D"/>
    <w:rsid w:val="6459105E"/>
    <w:rsid w:val="645B63D4"/>
    <w:rsid w:val="645D3B96"/>
    <w:rsid w:val="645E0E88"/>
    <w:rsid w:val="645E38EF"/>
    <w:rsid w:val="645E6DF4"/>
    <w:rsid w:val="6463101C"/>
    <w:rsid w:val="64634A61"/>
    <w:rsid w:val="64656A2B"/>
    <w:rsid w:val="646C77CB"/>
    <w:rsid w:val="646D3ABC"/>
    <w:rsid w:val="6479117B"/>
    <w:rsid w:val="647A0FDB"/>
    <w:rsid w:val="647B7D88"/>
    <w:rsid w:val="647D69B1"/>
    <w:rsid w:val="64822B3A"/>
    <w:rsid w:val="648250A2"/>
    <w:rsid w:val="64825791"/>
    <w:rsid w:val="64835103"/>
    <w:rsid w:val="64840411"/>
    <w:rsid w:val="64865977"/>
    <w:rsid w:val="648669A1"/>
    <w:rsid w:val="64874EF6"/>
    <w:rsid w:val="64897840"/>
    <w:rsid w:val="648A0240"/>
    <w:rsid w:val="648C48AF"/>
    <w:rsid w:val="648E0FAC"/>
    <w:rsid w:val="648F7450"/>
    <w:rsid w:val="649163B6"/>
    <w:rsid w:val="64932F5C"/>
    <w:rsid w:val="6497295D"/>
    <w:rsid w:val="649A7ED4"/>
    <w:rsid w:val="649C16D7"/>
    <w:rsid w:val="64A137DB"/>
    <w:rsid w:val="64A32CD7"/>
    <w:rsid w:val="64A4523A"/>
    <w:rsid w:val="64A62BA0"/>
    <w:rsid w:val="64A733C5"/>
    <w:rsid w:val="64A91F9A"/>
    <w:rsid w:val="64A9606B"/>
    <w:rsid w:val="64AD3F2E"/>
    <w:rsid w:val="64B201E0"/>
    <w:rsid w:val="64B259E8"/>
    <w:rsid w:val="64B56F30"/>
    <w:rsid w:val="64B74DAD"/>
    <w:rsid w:val="64B928D3"/>
    <w:rsid w:val="64B96D77"/>
    <w:rsid w:val="64B96F1B"/>
    <w:rsid w:val="64BC50A1"/>
    <w:rsid w:val="64BF11AE"/>
    <w:rsid w:val="64BF44CE"/>
    <w:rsid w:val="64C00485"/>
    <w:rsid w:val="64C23E7D"/>
    <w:rsid w:val="64C319A4"/>
    <w:rsid w:val="64C34F37"/>
    <w:rsid w:val="64C4731D"/>
    <w:rsid w:val="64C62B78"/>
    <w:rsid w:val="64C71494"/>
    <w:rsid w:val="64CA2D32"/>
    <w:rsid w:val="64CB1C6F"/>
    <w:rsid w:val="64CF20F6"/>
    <w:rsid w:val="64D17E66"/>
    <w:rsid w:val="64D92F75"/>
    <w:rsid w:val="64D94D23"/>
    <w:rsid w:val="64D96D45"/>
    <w:rsid w:val="64DB3472"/>
    <w:rsid w:val="64DB76E4"/>
    <w:rsid w:val="64DD44CD"/>
    <w:rsid w:val="64DE2339"/>
    <w:rsid w:val="64DF4C3A"/>
    <w:rsid w:val="64E04A76"/>
    <w:rsid w:val="64E06559"/>
    <w:rsid w:val="64E33DF4"/>
    <w:rsid w:val="64E5191A"/>
    <w:rsid w:val="64E8324A"/>
    <w:rsid w:val="64E968CE"/>
    <w:rsid w:val="64EC4A56"/>
    <w:rsid w:val="64EF4547"/>
    <w:rsid w:val="64F32289"/>
    <w:rsid w:val="64F34D26"/>
    <w:rsid w:val="64F56864"/>
    <w:rsid w:val="64F6023D"/>
    <w:rsid w:val="64F953C5"/>
    <w:rsid w:val="64FD3107"/>
    <w:rsid w:val="64FE7B7E"/>
    <w:rsid w:val="650049A6"/>
    <w:rsid w:val="650224CC"/>
    <w:rsid w:val="65030C16"/>
    <w:rsid w:val="650439E7"/>
    <w:rsid w:val="6507402D"/>
    <w:rsid w:val="65077908"/>
    <w:rsid w:val="650A312E"/>
    <w:rsid w:val="650D0469"/>
    <w:rsid w:val="650F4BA4"/>
    <w:rsid w:val="651134F2"/>
    <w:rsid w:val="65150451"/>
    <w:rsid w:val="65174464"/>
    <w:rsid w:val="6518182B"/>
    <w:rsid w:val="6518584B"/>
    <w:rsid w:val="651A2E7C"/>
    <w:rsid w:val="651B1AC7"/>
    <w:rsid w:val="651D2E62"/>
    <w:rsid w:val="651D714E"/>
    <w:rsid w:val="6520704C"/>
    <w:rsid w:val="6524614E"/>
    <w:rsid w:val="65257D6B"/>
    <w:rsid w:val="65296E46"/>
    <w:rsid w:val="65346D34"/>
    <w:rsid w:val="65385111"/>
    <w:rsid w:val="6538660B"/>
    <w:rsid w:val="653A1C66"/>
    <w:rsid w:val="653D1756"/>
    <w:rsid w:val="653E102A"/>
    <w:rsid w:val="653F727C"/>
    <w:rsid w:val="65401246"/>
    <w:rsid w:val="65405401"/>
    <w:rsid w:val="65472E61"/>
    <w:rsid w:val="654752D4"/>
    <w:rsid w:val="65481949"/>
    <w:rsid w:val="654900FB"/>
    <w:rsid w:val="654A5C21"/>
    <w:rsid w:val="654B3E73"/>
    <w:rsid w:val="654C24D5"/>
    <w:rsid w:val="654C3747"/>
    <w:rsid w:val="654C5689"/>
    <w:rsid w:val="654E74BF"/>
    <w:rsid w:val="65533EF7"/>
    <w:rsid w:val="6554084E"/>
    <w:rsid w:val="6555417C"/>
    <w:rsid w:val="655675A7"/>
    <w:rsid w:val="65570331"/>
    <w:rsid w:val="65576D44"/>
    <w:rsid w:val="655902E8"/>
    <w:rsid w:val="655D7702"/>
    <w:rsid w:val="655F4AD1"/>
    <w:rsid w:val="6562740E"/>
    <w:rsid w:val="65645416"/>
    <w:rsid w:val="656C4484"/>
    <w:rsid w:val="656F3668"/>
    <w:rsid w:val="657332A2"/>
    <w:rsid w:val="65777EA0"/>
    <w:rsid w:val="657C3F13"/>
    <w:rsid w:val="65817133"/>
    <w:rsid w:val="658221AC"/>
    <w:rsid w:val="65827FA3"/>
    <w:rsid w:val="658A426F"/>
    <w:rsid w:val="658B0713"/>
    <w:rsid w:val="658B24C1"/>
    <w:rsid w:val="658C5586"/>
    <w:rsid w:val="658F4EE4"/>
    <w:rsid w:val="65901202"/>
    <w:rsid w:val="659106AF"/>
    <w:rsid w:val="6591329E"/>
    <w:rsid w:val="65953340"/>
    <w:rsid w:val="659550EE"/>
    <w:rsid w:val="6595537E"/>
    <w:rsid w:val="659D11B1"/>
    <w:rsid w:val="65A11CE5"/>
    <w:rsid w:val="65A448D0"/>
    <w:rsid w:val="65A462D7"/>
    <w:rsid w:val="65A476F6"/>
    <w:rsid w:val="65A74E21"/>
    <w:rsid w:val="65A83D81"/>
    <w:rsid w:val="65A96DEB"/>
    <w:rsid w:val="65AA4454"/>
    <w:rsid w:val="65AB1C99"/>
    <w:rsid w:val="65AB2B63"/>
    <w:rsid w:val="65AE4C01"/>
    <w:rsid w:val="65B01F28"/>
    <w:rsid w:val="65B17A4E"/>
    <w:rsid w:val="65B337C6"/>
    <w:rsid w:val="65B3467F"/>
    <w:rsid w:val="65B80DDC"/>
    <w:rsid w:val="65BE0031"/>
    <w:rsid w:val="65C257A3"/>
    <w:rsid w:val="65C47781"/>
    <w:rsid w:val="65C854C3"/>
    <w:rsid w:val="65C94D98"/>
    <w:rsid w:val="65CB6D62"/>
    <w:rsid w:val="65D025CA"/>
    <w:rsid w:val="65D147F3"/>
    <w:rsid w:val="65D247C1"/>
    <w:rsid w:val="65D379C4"/>
    <w:rsid w:val="65D5198E"/>
    <w:rsid w:val="65D774B5"/>
    <w:rsid w:val="65D8618C"/>
    <w:rsid w:val="65DB426E"/>
    <w:rsid w:val="65DC2D1D"/>
    <w:rsid w:val="65DC4ACB"/>
    <w:rsid w:val="65DD1075"/>
    <w:rsid w:val="65DF280D"/>
    <w:rsid w:val="65DF4689"/>
    <w:rsid w:val="65DF6369"/>
    <w:rsid w:val="65E00F95"/>
    <w:rsid w:val="65E35E58"/>
    <w:rsid w:val="65E87914"/>
    <w:rsid w:val="65EC174B"/>
    <w:rsid w:val="65EE2DA5"/>
    <w:rsid w:val="65EE3E2A"/>
    <w:rsid w:val="65EF15EA"/>
    <w:rsid w:val="65EF76D2"/>
    <w:rsid w:val="65F067C8"/>
    <w:rsid w:val="65F15946"/>
    <w:rsid w:val="65F21C39"/>
    <w:rsid w:val="65F22540"/>
    <w:rsid w:val="65F31E15"/>
    <w:rsid w:val="65FC6C19"/>
    <w:rsid w:val="65FE7137"/>
    <w:rsid w:val="6601664A"/>
    <w:rsid w:val="6603474E"/>
    <w:rsid w:val="66056F5E"/>
    <w:rsid w:val="66066AC6"/>
    <w:rsid w:val="6607003F"/>
    <w:rsid w:val="6609788A"/>
    <w:rsid w:val="660B53B0"/>
    <w:rsid w:val="66100C18"/>
    <w:rsid w:val="66127032"/>
    <w:rsid w:val="66136DF1"/>
    <w:rsid w:val="66172830"/>
    <w:rsid w:val="66176538"/>
    <w:rsid w:val="66185388"/>
    <w:rsid w:val="661A7C1D"/>
    <w:rsid w:val="661C75BD"/>
    <w:rsid w:val="66210E74"/>
    <w:rsid w:val="66216982"/>
    <w:rsid w:val="662223C8"/>
    <w:rsid w:val="6623722A"/>
    <w:rsid w:val="662468A4"/>
    <w:rsid w:val="662776F9"/>
    <w:rsid w:val="66291CDA"/>
    <w:rsid w:val="662A7F2C"/>
    <w:rsid w:val="662C6FE4"/>
    <w:rsid w:val="66326DE1"/>
    <w:rsid w:val="66332AF7"/>
    <w:rsid w:val="663743F7"/>
    <w:rsid w:val="663C13D6"/>
    <w:rsid w:val="663F0711"/>
    <w:rsid w:val="66430FEE"/>
    <w:rsid w:val="66434B4A"/>
    <w:rsid w:val="665015C4"/>
    <w:rsid w:val="665054B9"/>
    <w:rsid w:val="665060D2"/>
    <w:rsid w:val="66507267"/>
    <w:rsid w:val="66521231"/>
    <w:rsid w:val="66526619"/>
    <w:rsid w:val="6655487D"/>
    <w:rsid w:val="66571D45"/>
    <w:rsid w:val="665A1E94"/>
    <w:rsid w:val="665E0BC6"/>
    <w:rsid w:val="665F1C97"/>
    <w:rsid w:val="6661437D"/>
    <w:rsid w:val="666176C6"/>
    <w:rsid w:val="66617900"/>
    <w:rsid w:val="66624E40"/>
    <w:rsid w:val="6662550A"/>
    <w:rsid w:val="66641202"/>
    <w:rsid w:val="666750EF"/>
    <w:rsid w:val="666A13B4"/>
    <w:rsid w:val="666D188E"/>
    <w:rsid w:val="666F1DE3"/>
    <w:rsid w:val="6670349F"/>
    <w:rsid w:val="66737C65"/>
    <w:rsid w:val="66740F5C"/>
    <w:rsid w:val="667C005C"/>
    <w:rsid w:val="667E260C"/>
    <w:rsid w:val="667E2F42"/>
    <w:rsid w:val="667F18FA"/>
    <w:rsid w:val="668028E1"/>
    <w:rsid w:val="6681018A"/>
    <w:rsid w:val="668173C0"/>
    <w:rsid w:val="668276D7"/>
    <w:rsid w:val="6684578B"/>
    <w:rsid w:val="66846F11"/>
    <w:rsid w:val="66855A88"/>
    <w:rsid w:val="668E1D45"/>
    <w:rsid w:val="668F1C26"/>
    <w:rsid w:val="668F3111"/>
    <w:rsid w:val="66911D59"/>
    <w:rsid w:val="6692162D"/>
    <w:rsid w:val="6693002A"/>
    <w:rsid w:val="6694184A"/>
    <w:rsid w:val="66962245"/>
    <w:rsid w:val="66963CA8"/>
    <w:rsid w:val="66974E96"/>
    <w:rsid w:val="669B2B2B"/>
    <w:rsid w:val="669E1389"/>
    <w:rsid w:val="66A75377"/>
    <w:rsid w:val="66A76ED7"/>
    <w:rsid w:val="66AA5C07"/>
    <w:rsid w:val="66AB1A56"/>
    <w:rsid w:val="66B23A7E"/>
    <w:rsid w:val="66B51E22"/>
    <w:rsid w:val="66B5531C"/>
    <w:rsid w:val="66B70169"/>
    <w:rsid w:val="66B71EC0"/>
    <w:rsid w:val="66B7277F"/>
    <w:rsid w:val="66B965E7"/>
    <w:rsid w:val="66BD1A77"/>
    <w:rsid w:val="66BD7716"/>
    <w:rsid w:val="66BF7EBC"/>
    <w:rsid w:val="66C22CC8"/>
    <w:rsid w:val="66C37A39"/>
    <w:rsid w:val="66C61E5C"/>
    <w:rsid w:val="66C67568"/>
    <w:rsid w:val="66C8504F"/>
    <w:rsid w:val="66CB25C2"/>
    <w:rsid w:val="66CD465A"/>
    <w:rsid w:val="66D25ECE"/>
    <w:rsid w:val="66D36B0A"/>
    <w:rsid w:val="66D406F4"/>
    <w:rsid w:val="66D51B77"/>
    <w:rsid w:val="66D63C10"/>
    <w:rsid w:val="66D64D3F"/>
    <w:rsid w:val="66D6706B"/>
    <w:rsid w:val="66DC42DF"/>
    <w:rsid w:val="66DD5F3D"/>
    <w:rsid w:val="66DE0D17"/>
    <w:rsid w:val="66DE75BE"/>
    <w:rsid w:val="66E005EB"/>
    <w:rsid w:val="66E42A5E"/>
    <w:rsid w:val="66E63727"/>
    <w:rsid w:val="66E67A63"/>
    <w:rsid w:val="66E75E1D"/>
    <w:rsid w:val="66E82303"/>
    <w:rsid w:val="66E96F94"/>
    <w:rsid w:val="66EA1469"/>
    <w:rsid w:val="66EA1EFB"/>
    <w:rsid w:val="66F06ECD"/>
    <w:rsid w:val="66F12609"/>
    <w:rsid w:val="66F127F8"/>
    <w:rsid w:val="66F31D8F"/>
    <w:rsid w:val="66F347C2"/>
    <w:rsid w:val="66F35C3A"/>
    <w:rsid w:val="66F36D7D"/>
    <w:rsid w:val="66F62637"/>
    <w:rsid w:val="66F67E0E"/>
    <w:rsid w:val="66F75934"/>
    <w:rsid w:val="66F95B50"/>
    <w:rsid w:val="66FC2F4B"/>
    <w:rsid w:val="67000C8D"/>
    <w:rsid w:val="670329EE"/>
    <w:rsid w:val="67052065"/>
    <w:rsid w:val="670C5884"/>
    <w:rsid w:val="6714496D"/>
    <w:rsid w:val="6716225F"/>
    <w:rsid w:val="67162D6D"/>
    <w:rsid w:val="671C68F1"/>
    <w:rsid w:val="671D32EF"/>
    <w:rsid w:val="671D45D5"/>
    <w:rsid w:val="671E1AE1"/>
    <w:rsid w:val="671F55B7"/>
    <w:rsid w:val="672524A2"/>
    <w:rsid w:val="67265864"/>
    <w:rsid w:val="672B796C"/>
    <w:rsid w:val="672C04B0"/>
    <w:rsid w:val="672C4411"/>
    <w:rsid w:val="672C5586"/>
    <w:rsid w:val="673426E5"/>
    <w:rsid w:val="6736645D"/>
    <w:rsid w:val="673A5E03"/>
    <w:rsid w:val="673B1315"/>
    <w:rsid w:val="6740217D"/>
    <w:rsid w:val="67410829"/>
    <w:rsid w:val="67413A75"/>
    <w:rsid w:val="67422FE2"/>
    <w:rsid w:val="67442071"/>
    <w:rsid w:val="67490385"/>
    <w:rsid w:val="674A63AC"/>
    <w:rsid w:val="674E62BF"/>
    <w:rsid w:val="67515045"/>
    <w:rsid w:val="675200EC"/>
    <w:rsid w:val="67536806"/>
    <w:rsid w:val="67564D51"/>
    <w:rsid w:val="675D7E8D"/>
    <w:rsid w:val="675E7762"/>
    <w:rsid w:val="67605F8B"/>
    <w:rsid w:val="67611896"/>
    <w:rsid w:val="67627252"/>
    <w:rsid w:val="67670E4E"/>
    <w:rsid w:val="676853FD"/>
    <w:rsid w:val="676B30FE"/>
    <w:rsid w:val="676E2A41"/>
    <w:rsid w:val="676F3499"/>
    <w:rsid w:val="67713939"/>
    <w:rsid w:val="67766020"/>
    <w:rsid w:val="677874C4"/>
    <w:rsid w:val="677A0A3F"/>
    <w:rsid w:val="677A41B0"/>
    <w:rsid w:val="677A7609"/>
    <w:rsid w:val="677B7F4E"/>
    <w:rsid w:val="678135EA"/>
    <w:rsid w:val="678204B6"/>
    <w:rsid w:val="67831D73"/>
    <w:rsid w:val="6784366C"/>
    <w:rsid w:val="67851192"/>
    <w:rsid w:val="67892DB7"/>
    <w:rsid w:val="678B3CE9"/>
    <w:rsid w:val="678C7890"/>
    <w:rsid w:val="678D5B25"/>
    <w:rsid w:val="678E27F5"/>
    <w:rsid w:val="67951F15"/>
    <w:rsid w:val="67953EA3"/>
    <w:rsid w:val="679A0687"/>
    <w:rsid w:val="679A4C3E"/>
    <w:rsid w:val="679E3484"/>
    <w:rsid w:val="67A21D44"/>
    <w:rsid w:val="67A324DF"/>
    <w:rsid w:val="67A407B9"/>
    <w:rsid w:val="67A4617F"/>
    <w:rsid w:val="67A535E2"/>
    <w:rsid w:val="67A81814"/>
    <w:rsid w:val="67AB1F70"/>
    <w:rsid w:val="67AB397E"/>
    <w:rsid w:val="67AB3B84"/>
    <w:rsid w:val="67AC0B7B"/>
    <w:rsid w:val="67AD331F"/>
    <w:rsid w:val="67AD5D59"/>
    <w:rsid w:val="67AE1C05"/>
    <w:rsid w:val="67AE7672"/>
    <w:rsid w:val="67B101D9"/>
    <w:rsid w:val="67B70E1D"/>
    <w:rsid w:val="67B84F4A"/>
    <w:rsid w:val="67BA189A"/>
    <w:rsid w:val="67BA254E"/>
    <w:rsid w:val="67BA708E"/>
    <w:rsid w:val="67BB15D9"/>
    <w:rsid w:val="67BC4661"/>
    <w:rsid w:val="67BD092C"/>
    <w:rsid w:val="67BD6BD3"/>
    <w:rsid w:val="67BD7B64"/>
    <w:rsid w:val="67C27CF0"/>
    <w:rsid w:val="67C47F0C"/>
    <w:rsid w:val="67C51FCF"/>
    <w:rsid w:val="67C54BD6"/>
    <w:rsid w:val="67C65323"/>
    <w:rsid w:val="67C80AFB"/>
    <w:rsid w:val="67C97451"/>
    <w:rsid w:val="67CA53A9"/>
    <w:rsid w:val="67CF5950"/>
    <w:rsid w:val="67CF5B16"/>
    <w:rsid w:val="67D07C6D"/>
    <w:rsid w:val="67D65AF2"/>
    <w:rsid w:val="67D73180"/>
    <w:rsid w:val="67DA1B76"/>
    <w:rsid w:val="67DF7F5C"/>
    <w:rsid w:val="67E06B94"/>
    <w:rsid w:val="67E07875"/>
    <w:rsid w:val="67E1542E"/>
    <w:rsid w:val="67E37BE7"/>
    <w:rsid w:val="67E40F1C"/>
    <w:rsid w:val="67E61C31"/>
    <w:rsid w:val="67E660D5"/>
    <w:rsid w:val="67E71603"/>
    <w:rsid w:val="67E93627"/>
    <w:rsid w:val="67EB46DC"/>
    <w:rsid w:val="67EC4FD6"/>
    <w:rsid w:val="67EE0AE5"/>
    <w:rsid w:val="67F24A7A"/>
    <w:rsid w:val="67F307F2"/>
    <w:rsid w:val="67F450AC"/>
    <w:rsid w:val="67F65BEC"/>
    <w:rsid w:val="67F80D33"/>
    <w:rsid w:val="67F87BB6"/>
    <w:rsid w:val="67FA1B80"/>
    <w:rsid w:val="67FA4D0B"/>
    <w:rsid w:val="67FC4924"/>
    <w:rsid w:val="67FD51CC"/>
    <w:rsid w:val="67FE6CF9"/>
    <w:rsid w:val="67FF0F45"/>
    <w:rsid w:val="67FF270D"/>
    <w:rsid w:val="68012F0F"/>
    <w:rsid w:val="68014729"/>
    <w:rsid w:val="68024591"/>
    <w:rsid w:val="6803371F"/>
    <w:rsid w:val="68041E66"/>
    <w:rsid w:val="680709F9"/>
    <w:rsid w:val="68074301"/>
    <w:rsid w:val="68093B71"/>
    <w:rsid w:val="68094ABE"/>
    <w:rsid w:val="680B5B3B"/>
    <w:rsid w:val="680E4FDA"/>
    <w:rsid w:val="680E73DA"/>
    <w:rsid w:val="68137AC1"/>
    <w:rsid w:val="68150768"/>
    <w:rsid w:val="681A3FD0"/>
    <w:rsid w:val="681A7646"/>
    <w:rsid w:val="681E409C"/>
    <w:rsid w:val="681F3B93"/>
    <w:rsid w:val="6821710D"/>
    <w:rsid w:val="68250610"/>
    <w:rsid w:val="68250B73"/>
    <w:rsid w:val="68256171"/>
    <w:rsid w:val="68262703"/>
    <w:rsid w:val="682664D1"/>
    <w:rsid w:val="68273008"/>
    <w:rsid w:val="682846CC"/>
    <w:rsid w:val="682972AA"/>
    <w:rsid w:val="682D5AB2"/>
    <w:rsid w:val="683010FE"/>
    <w:rsid w:val="68305B49"/>
    <w:rsid w:val="6831161F"/>
    <w:rsid w:val="68330BEE"/>
    <w:rsid w:val="6835329A"/>
    <w:rsid w:val="683706DE"/>
    <w:rsid w:val="68386BA0"/>
    <w:rsid w:val="683A01CF"/>
    <w:rsid w:val="683B2101"/>
    <w:rsid w:val="683B25DF"/>
    <w:rsid w:val="6841330B"/>
    <w:rsid w:val="68441EBD"/>
    <w:rsid w:val="68456C28"/>
    <w:rsid w:val="68472F7E"/>
    <w:rsid w:val="68484CC7"/>
    <w:rsid w:val="684A604F"/>
    <w:rsid w:val="684A6664"/>
    <w:rsid w:val="684C37A9"/>
    <w:rsid w:val="684C6501"/>
    <w:rsid w:val="684D3903"/>
    <w:rsid w:val="684D7F02"/>
    <w:rsid w:val="684F1EFE"/>
    <w:rsid w:val="6853303E"/>
    <w:rsid w:val="68547EF0"/>
    <w:rsid w:val="68557689"/>
    <w:rsid w:val="68580655"/>
    <w:rsid w:val="6858077B"/>
    <w:rsid w:val="68582403"/>
    <w:rsid w:val="68595170"/>
    <w:rsid w:val="685A3D5D"/>
    <w:rsid w:val="685A617B"/>
    <w:rsid w:val="685F6C32"/>
    <w:rsid w:val="686139AD"/>
    <w:rsid w:val="6862727E"/>
    <w:rsid w:val="68631796"/>
    <w:rsid w:val="68634D36"/>
    <w:rsid w:val="68635FBA"/>
    <w:rsid w:val="68674806"/>
    <w:rsid w:val="686A0AB4"/>
    <w:rsid w:val="686E384F"/>
    <w:rsid w:val="686F71EF"/>
    <w:rsid w:val="687234C5"/>
    <w:rsid w:val="68776D2D"/>
    <w:rsid w:val="68777595"/>
    <w:rsid w:val="68784853"/>
    <w:rsid w:val="687A05CB"/>
    <w:rsid w:val="687A4E29"/>
    <w:rsid w:val="687C2595"/>
    <w:rsid w:val="687C5FDA"/>
    <w:rsid w:val="687E630D"/>
    <w:rsid w:val="68814C5D"/>
    <w:rsid w:val="688B4619"/>
    <w:rsid w:val="688C63FB"/>
    <w:rsid w:val="688E4077"/>
    <w:rsid w:val="6893081D"/>
    <w:rsid w:val="68975771"/>
    <w:rsid w:val="68986153"/>
    <w:rsid w:val="68993147"/>
    <w:rsid w:val="689B0DA7"/>
    <w:rsid w:val="689B29D6"/>
    <w:rsid w:val="689B7C23"/>
    <w:rsid w:val="689E207F"/>
    <w:rsid w:val="68A044D6"/>
    <w:rsid w:val="68AB0D3E"/>
    <w:rsid w:val="68AE4B31"/>
    <w:rsid w:val="68B57855"/>
    <w:rsid w:val="68B735CD"/>
    <w:rsid w:val="68BA4C6E"/>
    <w:rsid w:val="68BC6098"/>
    <w:rsid w:val="68BF2482"/>
    <w:rsid w:val="68C47A98"/>
    <w:rsid w:val="68C629A3"/>
    <w:rsid w:val="68C958EA"/>
    <w:rsid w:val="68D0643D"/>
    <w:rsid w:val="68D2242E"/>
    <w:rsid w:val="68D4417F"/>
    <w:rsid w:val="68D51CA5"/>
    <w:rsid w:val="68D64647"/>
    <w:rsid w:val="68D777CC"/>
    <w:rsid w:val="68D9280E"/>
    <w:rsid w:val="68D93544"/>
    <w:rsid w:val="68D93DD2"/>
    <w:rsid w:val="68DA787F"/>
    <w:rsid w:val="68DB31A5"/>
    <w:rsid w:val="68DB72BC"/>
    <w:rsid w:val="68DC3034"/>
    <w:rsid w:val="68E32614"/>
    <w:rsid w:val="68ED6FEF"/>
    <w:rsid w:val="68F0088D"/>
    <w:rsid w:val="68F00A23"/>
    <w:rsid w:val="68F40D59"/>
    <w:rsid w:val="68F660E0"/>
    <w:rsid w:val="68F71C1C"/>
    <w:rsid w:val="68F77E6E"/>
    <w:rsid w:val="68FC7D33"/>
    <w:rsid w:val="68FD02C1"/>
    <w:rsid w:val="68FE744E"/>
    <w:rsid w:val="69036EDB"/>
    <w:rsid w:val="69040E42"/>
    <w:rsid w:val="6905258B"/>
    <w:rsid w:val="69056545"/>
    <w:rsid w:val="69061CDD"/>
    <w:rsid w:val="690B41F5"/>
    <w:rsid w:val="69107EE6"/>
    <w:rsid w:val="69126A56"/>
    <w:rsid w:val="69133EEC"/>
    <w:rsid w:val="69136369"/>
    <w:rsid w:val="691427CE"/>
    <w:rsid w:val="6917406C"/>
    <w:rsid w:val="691C00B9"/>
    <w:rsid w:val="691D5B26"/>
    <w:rsid w:val="691E364C"/>
    <w:rsid w:val="692072B1"/>
    <w:rsid w:val="692239F3"/>
    <w:rsid w:val="69231AA4"/>
    <w:rsid w:val="69252C2D"/>
    <w:rsid w:val="692944E0"/>
    <w:rsid w:val="692D3031"/>
    <w:rsid w:val="692F585A"/>
    <w:rsid w:val="69304D85"/>
    <w:rsid w:val="693816F1"/>
    <w:rsid w:val="69390486"/>
    <w:rsid w:val="693943EE"/>
    <w:rsid w:val="69397D77"/>
    <w:rsid w:val="693F7F0D"/>
    <w:rsid w:val="694032B0"/>
    <w:rsid w:val="69407889"/>
    <w:rsid w:val="6942033D"/>
    <w:rsid w:val="69431305"/>
    <w:rsid w:val="6945476E"/>
    <w:rsid w:val="69474EBB"/>
    <w:rsid w:val="6948576C"/>
    <w:rsid w:val="694858F0"/>
    <w:rsid w:val="694A61EF"/>
    <w:rsid w:val="6954706E"/>
    <w:rsid w:val="69554AC4"/>
    <w:rsid w:val="69580774"/>
    <w:rsid w:val="695E0D4C"/>
    <w:rsid w:val="695E52C5"/>
    <w:rsid w:val="696077C1"/>
    <w:rsid w:val="69617E5C"/>
    <w:rsid w:val="69621D7B"/>
    <w:rsid w:val="69675CFC"/>
    <w:rsid w:val="69692B1A"/>
    <w:rsid w:val="696B0251"/>
    <w:rsid w:val="696C57F6"/>
    <w:rsid w:val="696D52BC"/>
    <w:rsid w:val="6971278E"/>
    <w:rsid w:val="697601BD"/>
    <w:rsid w:val="69763CFD"/>
    <w:rsid w:val="69771EBD"/>
    <w:rsid w:val="697B4DB7"/>
    <w:rsid w:val="697F4C6A"/>
    <w:rsid w:val="697F5DB9"/>
    <w:rsid w:val="6982576C"/>
    <w:rsid w:val="69831DA5"/>
    <w:rsid w:val="6985167E"/>
    <w:rsid w:val="6985191D"/>
    <w:rsid w:val="698536CB"/>
    <w:rsid w:val="698E07D2"/>
    <w:rsid w:val="698E1AEA"/>
    <w:rsid w:val="698E2580"/>
    <w:rsid w:val="69907AE8"/>
    <w:rsid w:val="69925FBC"/>
    <w:rsid w:val="69931368"/>
    <w:rsid w:val="69963D78"/>
    <w:rsid w:val="699675DE"/>
    <w:rsid w:val="699769CA"/>
    <w:rsid w:val="69982EE8"/>
    <w:rsid w:val="69997176"/>
    <w:rsid w:val="699D589B"/>
    <w:rsid w:val="699D7D68"/>
    <w:rsid w:val="699F5434"/>
    <w:rsid w:val="69A05CBC"/>
    <w:rsid w:val="69A16971"/>
    <w:rsid w:val="69A40006"/>
    <w:rsid w:val="69A43B52"/>
    <w:rsid w:val="69A46C3B"/>
    <w:rsid w:val="69A66C98"/>
    <w:rsid w:val="69AD17E8"/>
    <w:rsid w:val="69B144C0"/>
    <w:rsid w:val="69B163D6"/>
    <w:rsid w:val="69B63885"/>
    <w:rsid w:val="69B659C2"/>
    <w:rsid w:val="69B83AA1"/>
    <w:rsid w:val="69BB2CC4"/>
    <w:rsid w:val="69BB70ED"/>
    <w:rsid w:val="69BC1D35"/>
    <w:rsid w:val="69BC6580"/>
    <w:rsid w:val="69BD4098"/>
    <w:rsid w:val="69C04A35"/>
    <w:rsid w:val="69C20618"/>
    <w:rsid w:val="69C2222A"/>
    <w:rsid w:val="69C97A5C"/>
    <w:rsid w:val="69CA3F29"/>
    <w:rsid w:val="69CC1D1A"/>
    <w:rsid w:val="69CE1E23"/>
    <w:rsid w:val="69CE5072"/>
    <w:rsid w:val="69CE56F9"/>
    <w:rsid w:val="69CF5983"/>
    <w:rsid w:val="69D02B99"/>
    <w:rsid w:val="69D165BF"/>
    <w:rsid w:val="69D16911"/>
    <w:rsid w:val="69D361E5"/>
    <w:rsid w:val="69D50FBF"/>
    <w:rsid w:val="69D56401"/>
    <w:rsid w:val="69D97FDA"/>
    <w:rsid w:val="69DA3A17"/>
    <w:rsid w:val="69DB4211"/>
    <w:rsid w:val="69DC43BB"/>
    <w:rsid w:val="69E06B54"/>
    <w:rsid w:val="69E228CC"/>
    <w:rsid w:val="69E25988"/>
    <w:rsid w:val="69E76134"/>
    <w:rsid w:val="69E77EE2"/>
    <w:rsid w:val="69E848C6"/>
    <w:rsid w:val="69E85712"/>
    <w:rsid w:val="69E93C5A"/>
    <w:rsid w:val="69E95A08"/>
    <w:rsid w:val="69EA5900"/>
    <w:rsid w:val="69EB1780"/>
    <w:rsid w:val="69F03D34"/>
    <w:rsid w:val="69F21990"/>
    <w:rsid w:val="69F50851"/>
    <w:rsid w:val="69FA19C4"/>
    <w:rsid w:val="69FF522C"/>
    <w:rsid w:val="6A010FA4"/>
    <w:rsid w:val="6A022F6E"/>
    <w:rsid w:val="6A024D1C"/>
    <w:rsid w:val="6A054913"/>
    <w:rsid w:val="6A057451"/>
    <w:rsid w:val="6A0C1DA3"/>
    <w:rsid w:val="6A0E54CE"/>
    <w:rsid w:val="6A0E63AA"/>
    <w:rsid w:val="6A113749"/>
    <w:rsid w:val="6A122202"/>
    <w:rsid w:val="6A127C44"/>
    <w:rsid w:val="6A130617"/>
    <w:rsid w:val="6A1449EC"/>
    <w:rsid w:val="6A154A4F"/>
    <w:rsid w:val="6A193E09"/>
    <w:rsid w:val="6A211646"/>
    <w:rsid w:val="6A2151A2"/>
    <w:rsid w:val="6A2629C7"/>
    <w:rsid w:val="6A274783"/>
    <w:rsid w:val="6A276531"/>
    <w:rsid w:val="6A2922A9"/>
    <w:rsid w:val="6A294EB7"/>
    <w:rsid w:val="6A2A4D5A"/>
    <w:rsid w:val="6A2B4273"/>
    <w:rsid w:val="6A2C1D99"/>
    <w:rsid w:val="6A310F89"/>
    <w:rsid w:val="6A34057B"/>
    <w:rsid w:val="6A347AED"/>
    <w:rsid w:val="6A36193D"/>
    <w:rsid w:val="6A366774"/>
    <w:rsid w:val="6A385754"/>
    <w:rsid w:val="6A3C1BE9"/>
    <w:rsid w:val="6A3D5D54"/>
    <w:rsid w:val="6A3F358B"/>
    <w:rsid w:val="6A427CA7"/>
    <w:rsid w:val="6A437450"/>
    <w:rsid w:val="6A464C09"/>
    <w:rsid w:val="6A4724BF"/>
    <w:rsid w:val="6A484E25"/>
    <w:rsid w:val="6A4B0041"/>
    <w:rsid w:val="6A4C6BB1"/>
    <w:rsid w:val="6A4D243B"/>
    <w:rsid w:val="6A4F1C0E"/>
    <w:rsid w:val="6A504962"/>
    <w:rsid w:val="6A554E4C"/>
    <w:rsid w:val="6A566AEC"/>
    <w:rsid w:val="6A5861C8"/>
    <w:rsid w:val="6A594947"/>
    <w:rsid w:val="6A595133"/>
    <w:rsid w:val="6A5C267E"/>
    <w:rsid w:val="6A5C56A7"/>
    <w:rsid w:val="6A5D01A4"/>
    <w:rsid w:val="6A5E607B"/>
    <w:rsid w:val="6A622004"/>
    <w:rsid w:val="6A667059"/>
    <w:rsid w:val="6A6E4160"/>
    <w:rsid w:val="6A6F2E38"/>
    <w:rsid w:val="6A745297"/>
    <w:rsid w:val="6A7774B8"/>
    <w:rsid w:val="6A7B289C"/>
    <w:rsid w:val="6A7B6CB1"/>
    <w:rsid w:val="6A7B7E11"/>
    <w:rsid w:val="6A7C4ACE"/>
    <w:rsid w:val="6A7D2AC6"/>
    <w:rsid w:val="6A7D43A3"/>
    <w:rsid w:val="6A7E25F5"/>
    <w:rsid w:val="6A8139BE"/>
    <w:rsid w:val="6A863DE4"/>
    <w:rsid w:val="6A8676FB"/>
    <w:rsid w:val="6A8756D4"/>
    <w:rsid w:val="6A8E035E"/>
    <w:rsid w:val="6A8E65B0"/>
    <w:rsid w:val="6A902B83"/>
    <w:rsid w:val="6A9037A4"/>
    <w:rsid w:val="6A933BC6"/>
    <w:rsid w:val="6A9516EC"/>
    <w:rsid w:val="6A955389"/>
    <w:rsid w:val="6A956549"/>
    <w:rsid w:val="6A9B3730"/>
    <w:rsid w:val="6AA3205B"/>
    <w:rsid w:val="6AA54025"/>
    <w:rsid w:val="6AA57E10"/>
    <w:rsid w:val="6AA81FE9"/>
    <w:rsid w:val="6AAB52E0"/>
    <w:rsid w:val="6AAB7162"/>
    <w:rsid w:val="6AAE27AE"/>
    <w:rsid w:val="6AAE283B"/>
    <w:rsid w:val="6AB17111"/>
    <w:rsid w:val="6AB32E5C"/>
    <w:rsid w:val="6AB541FC"/>
    <w:rsid w:val="6AB62F2F"/>
    <w:rsid w:val="6ABA73A5"/>
    <w:rsid w:val="6ABB4DD2"/>
    <w:rsid w:val="6ABF3F3C"/>
    <w:rsid w:val="6AC65D4A"/>
    <w:rsid w:val="6ACA1723"/>
    <w:rsid w:val="6ACD2C6F"/>
    <w:rsid w:val="6AD577DE"/>
    <w:rsid w:val="6AD7027B"/>
    <w:rsid w:val="6AD77F57"/>
    <w:rsid w:val="6AD93CCF"/>
    <w:rsid w:val="6ADA35A3"/>
    <w:rsid w:val="6ADE4D5E"/>
    <w:rsid w:val="6ADE7537"/>
    <w:rsid w:val="6AE14931"/>
    <w:rsid w:val="6AE45DDA"/>
    <w:rsid w:val="6AE52674"/>
    <w:rsid w:val="6AE647B6"/>
    <w:rsid w:val="6AE8673F"/>
    <w:rsid w:val="6AEB46BD"/>
    <w:rsid w:val="6AEB7DAF"/>
    <w:rsid w:val="6AEC194A"/>
    <w:rsid w:val="6AEC4E94"/>
    <w:rsid w:val="6AEF7DCE"/>
    <w:rsid w:val="6AF01018"/>
    <w:rsid w:val="6AF208ED"/>
    <w:rsid w:val="6AF26B3F"/>
    <w:rsid w:val="6AF4607E"/>
    <w:rsid w:val="6AF92B4D"/>
    <w:rsid w:val="6AFC5C0F"/>
    <w:rsid w:val="6AFE7552"/>
    <w:rsid w:val="6AFF1ACF"/>
    <w:rsid w:val="6B0074AE"/>
    <w:rsid w:val="6B0B2D08"/>
    <w:rsid w:val="6B0D5B92"/>
    <w:rsid w:val="6B0E4536"/>
    <w:rsid w:val="6B0F1C46"/>
    <w:rsid w:val="6B1116BB"/>
    <w:rsid w:val="6B113469"/>
    <w:rsid w:val="6B145486"/>
    <w:rsid w:val="6B162075"/>
    <w:rsid w:val="6B165D7B"/>
    <w:rsid w:val="6B1B42E7"/>
    <w:rsid w:val="6B1B6DB4"/>
    <w:rsid w:val="6B1E15E3"/>
    <w:rsid w:val="6B1E2EBF"/>
    <w:rsid w:val="6B1F33D4"/>
    <w:rsid w:val="6B2133E6"/>
    <w:rsid w:val="6B225676"/>
    <w:rsid w:val="6B2425D9"/>
    <w:rsid w:val="6B252A70"/>
    <w:rsid w:val="6B256F14"/>
    <w:rsid w:val="6B28553C"/>
    <w:rsid w:val="6B2B3DFF"/>
    <w:rsid w:val="6B2D401B"/>
    <w:rsid w:val="6B2D4682"/>
    <w:rsid w:val="6B311DC4"/>
    <w:rsid w:val="6B330E75"/>
    <w:rsid w:val="6B3521F8"/>
    <w:rsid w:val="6B393A5C"/>
    <w:rsid w:val="6B3B04E6"/>
    <w:rsid w:val="6B3D6A8B"/>
    <w:rsid w:val="6B3E37D6"/>
    <w:rsid w:val="6B431148"/>
    <w:rsid w:val="6B453112"/>
    <w:rsid w:val="6B453B8B"/>
    <w:rsid w:val="6B472CBA"/>
    <w:rsid w:val="6B473CCF"/>
    <w:rsid w:val="6B4C26F3"/>
    <w:rsid w:val="6B4D1FC7"/>
    <w:rsid w:val="6B52582F"/>
    <w:rsid w:val="6B543355"/>
    <w:rsid w:val="6B55082B"/>
    <w:rsid w:val="6B55691B"/>
    <w:rsid w:val="6B562EB5"/>
    <w:rsid w:val="6B5670D9"/>
    <w:rsid w:val="6B5751F9"/>
    <w:rsid w:val="6B596BBE"/>
    <w:rsid w:val="6B5A3901"/>
    <w:rsid w:val="6B5D4706"/>
    <w:rsid w:val="6B5E04A6"/>
    <w:rsid w:val="6B5E5F82"/>
    <w:rsid w:val="6B60318B"/>
    <w:rsid w:val="6B607F4C"/>
    <w:rsid w:val="6B6157ED"/>
    <w:rsid w:val="6B633598"/>
    <w:rsid w:val="6B6A2B79"/>
    <w:rsid w:val="6B6C6F22"/>
    <w:rsid w:val="6B6E0360"/>
    <w:rsid w:val="6B7072C4"/>
    <w:rsid w:val="6B735E08"/>
    <w:rsid w:val="6B7537CD"/>
    <w:rsid w:val="6B75670A"/>
    <w:rsid w:val="6B773FC3"/>
    <w:rsid w:val="6B7834E8"/>
    <w:rsid w:val="6B783922"/>
    <w:rsid w:val="6B797260"/>
    <w:rsid w:val="6B7B1AB7"/>
    <w:rsid w:val="6B7B4D86"/>
    <w:rsid w:val="6B7C4B02"/>
    <w:rsid w:val="6B804816"/>
    <w:rsid w:val="6B806EFD"/>
    <w:rsid w:val="6B813FF6"/>
    <w:rsid w:val="6B8249E2"/>
    <w:rsid w:val="6B876A57"/>
    <w:rsid w:val="6B8913A0"/>
    <w:rsid w:val="6B8936B0"/>
    <w:rsid w:val="6B8A2289"/>
    <w:rsid w:val="6B8C0D41"/>
    <w:rsid w:val="6B8D1C50"/>
    <w:rsid w:val="6B8D3E5C"/>
    <w:rsid w:val="6B8E62B2"/>
    <w:rsid w:val="6B923E7E"/>
    <w:rsid w:val="6B9419A4"/>
    <w:rsid w:val="6B96396E"/>
    <w:rsid w:val="6B9850A9"/>
    <w:rsid w:val="6B9876E6"/>
    <w:rsid w:val="6B993B3A"/>
    <w:rsid w:val="6B994541"/>
    <w:rsid w:val="6B9A0D18"/>
    <w:rsid w:val="6B9A16B0"/>
    <w:rsid w:val="6B9D486E"/>
    <w:rsid w:val="6BA02A3F"/>
    <w:rsid w:val="6BA0659B"/>
    <w:rsid w:val="6BA3608B"/>
    <w:rsid w:val="6BA73981"/>
    <w:rsid w:val="6BAA7D2A"/>
    <w:rsid w:val="6BAB2413"/>
    <w:rsid w:val="6BAC13E3"/>
    <w:rsid w:val="6BB022BA"/>
    <w:rsid w:val="6BB21062"/>
    <w:rsid w:val="6BB405C4"/>
    <w:rsid w:val="6BB513BF"/>
    <w:rsid w:val="6BB57805"/>
    <w:rsid w:val="6BB64010"/>
    <w:rsid w:val="6BB812AD"/>
    <w:rsid w:val="6BB838E4"/>
    <w:rsid w:val="6BBB5183"/>
    <w:rsid w:val="6BBD539F"/>
    <w:rsid w:val="6BBE1547"/>
    <w:rsid w:val="6BC35604"/>
    <w:rsid w:val="6BC5265D"/>
    <w:rsid w:val="6BC71162"/>
    <w:rsid w:val="6BC762A6"/>
    <w:rsid w:val="6BCC1456"/>
    <w:rsid w:val="6BD57C8D"/>
    <w:rsid w:val="6BD821D8"/>
    <w:rsid w:val="6BD83F86"/>
    <w:rsid w:val="6BD9452F"/>
    <w:rsid w:val="6BDC19FF"/>
    <w:rsid w:val="6BDD0871"/>
    <w:rsid w:val="6BDD5F0C"/>
    <w:rsid w:val="6BE01E1B"/>
    <w:rsid w:val="6BE648F5"/>
    <w:rsid w:val="6BE975C6"/>
    <w:rsid w:val="6BEE7306"/>
    <w:rsid w:val="6BEF307E"/>
    <w:rsid w:val="6BF15048"/>
    <w:rsid w:val="6BF47A6E"/>
    <w:rsid w:val="6BFA20E8"/>
    <w:rsid w:val="6BFB1165"/>
    <w:rsid w:val="6BFB7C75"/>
    <w:rsid w:val="6BFC7392"/>
    <w:rsid w:val="6BFD39ED"/>
    <w:rsid w:val="6BFF3552"/>
    <w:rsid w:val="6C022392"/>
    <w:rsid w:val="6C044D7B"/>
    <w:rsid w:val="6C053189"/>
    <w:rsid w:val="6C071AE0"/>
    <w:rsid w:val="6C0A00EA"/>
    <w:rsid w:val="6C0C35DB"/>
    <w:rsid w:val="6C0C4D73"/>
    <w:rsid w:val="6C1133E3"/>
    <w:rsid w:val="6C120B2F"/>
    <w:rsid w:val="6C150D37"/>
    <w:rsid w:val="6C16685D"/>
    <w:rsid w:val="6C172D01"/>
    <w:rsid w:val="6C180827"/>
    <w:rsid w:val="6C1F3963"/>
    <w:rsid w:val="6C223454"/>
    <w:rsid w:val="6C262F44"/>
    <w:rsid w:val="6C26444B"/>
    <w:rsid w:val="6C281E78"/>
    <w:rsid w:val="6C285559"/>
    <w:rsid w:val="6C2C42D2"/>
    <w:rsid w:val="6C2D4839"/>
    <w:rsid w:val="6C2E004A"/>
    <w:rsid w:val="6C2E72C5"/>
    <w:rsid w:val="6C2F1C6E"/>
    <w:rsid w:val="6C303DC2"/>
    <w:rsid w:val="6C382C77"/>
    <w:rsid w:val="6C396035"/>
    <w:rsid w:val="6C3E2962"/>
    <w:rsid w:val="6C410B65"/>
    <w:rsid w:val="6C4D4B5E"/>
    <w:rsid w:val="6C4F0378"/>
    <w:rsid w:val="6C501A4B"/>
    <w:rsid w:val="6C501D6F"/>
    <w:rsid w:val="6C580C23"/>
    <w:rsid w:val="6C592A82"/>
    <w:rsid w:val="6C5A2BED"/>
    <w:rsid w:val="6C5B62DB"/>
    <w:rsid w:val="6C5C1C6F"/>
    <w:rsid w:val="6C615D2A"/>
    <w:rsid w:val="6C631D5F"/>
    <w:rsid w:val="6C663340"/>
    <w:rsid w:val="6C6F525D"/>
    <w:rsid w:val="6C707D1C"/>
    <w:rsid w:val="6C717437"/>
    <w:rsid w:val="6C7232F5"/>
    <w:rsid w:val="6C731F01"/>
    <w:rsid w:val="6C735A5D"/>
    <w:rsid w:val="6C767165"/>
    <w:rsid w:val="6C7A3290"/>
    <w:rsid w:val="6C7D68DC"/>
    <w:rsid w:val="6C7F2654"/>
    <w:rsid w:val="6C845EBC"/>
    <w:rsid w:val="6C854B29"/>
    <w:rsid w:val="6C8639E2"/>
    <w:rsid w:val="6C88775B"/>
    <w:rsid w:val="6C8A2470"/>
    <w:rsid w:val="6C8C3E19"/>
    <w:rsid w:val="6C8C72CD"/>
    <w:rsid w:val="6C8E0AE9"/>
    <w:rsid w:val="6C924135"/>
    <w:rsid w:val="6C94577C"/>
    <w:rsid w:val="6C9500C9"/>
    <w:rsid w:val="6C950258"/>
    <w:rsid w:val="6C983716"/>
    <w:rsid w:val="6C9A1FF7"/>
    <w:rsid w:val="6C9B7FF9"/>
    <w:rsid w:val="6C9C11D4"/>
    <w:rsid w:val="6C9C565F"/>
    <w:rsid w:val="6C9C6D62"/>
    <w:rsid w:val="6C9D7726"/>
    <w:rsid w:val="6C9F4902"/>
    <w:rsid w:val="6CA26971"/>
    <w:rsid w:val="6CA34594"/>
    <w:rsid w:val="6CA60C0B"/>
    <w:rsid w:val="6CA87B0D"/>
    <w:rsid w:val="6CA87DFD"/>
    <w:rsid w:val="6CA9147F"/>
    <w:rsid w:val="6CAB3449"/>
    <w:rsid w:val="6CAE4CE7"/>
    <w:rsid w:val="6CB0280D"/>
    <w:rsid w:val="6CB66DF7"/>
    <w:rsid w:val="6CB70BE7"/>
    <w:rsid w:val="6CB75777"/>
    <w:rsid w:val="6CBA15F8"/>
    <w:rsid w:val="6CBD4F2A"/>
    <w:rsid w:val="6CC41184"/>
    <w:rsid w:val="6CC55842"/>
    <w:rsid w:val="6CC652A5"/>
    <w:rsid w:val="6CC7648B"/>
    <w:rsid w:val="6CC94A75"/>
    <w:rsid w:val="6CCB0022"/>
    <w:rsid w:val="6CD01102"/>
    <w:rsid w:val="6CD14697"/>
    <w:rsid w:val="6CD1730B"/>
    <w:rsid w:val="6CD438AE"/>
    <w:rsid w:val="6CD837BC"/>
    <w:rsid w:val="6CDA32CE"/>
    <w:rsid w:val="6CDB1F80"/>
    <w:rsid w:val="6CDD2ECA"/>
    <w:rsid w:val="6CDD5097"/>
    <w:rsid w:val="6CE11842"/>
    <w:rsid w:val="6CE20052"/>
    <w:rsid w:val="6CE46504"/>
    <w:rsid w:val="6CE87F8C"/>
    <w:rsid w:val="6CEB3C89"/>
    <w:rsid w:val="6CEB5F3B"/>
    <w:rsid w:val="6CED1CB3"/>
    <w:rsid w:val="6CED2714"/>
    <w:rsid w:val="6CED5810"/>
    <w:rsid w:val="6CED7678"/>
    <w:rsid w:val="6CEF5C8A"/>
    <w:rsid w:val="6CF070AE"/>
    <w:rsid w:val="6CF3094C"/>
    <w:rsid w:val="6CF43832"/>
    <w:rsid w:val="6CF4647B"/>
    <w:rsid w:val="6CF7043C"/>
    <w:rsid w:val="6CF7668E"/>
    <w:rsid w:val="6CFB046A"/>
    <w:rsid w:val="6CFF5543"/>
    <w:rsid w:val="6D015F39"/>
    <w:rsid w:val="6D081B17"/>
    <w:rsid w:val="6D0A2B07"/>
    <w:rsid w:val="6D0D4DF5"/>
    <w:rsid w:val="6D0E17D2"/>
    <w:rsid w:val="6D0F1C2A"/>
    <w:rsid w:val="6D0F250F"/>
    <w:rsid w:val="6D164037"/>
    <w:rsid w:val="6D176D30"/>
    <w:rsid w:val="6D182C48"/>
    <w:rsid w:val="6D18512F"/>
    <w:rsid w:val="6D1C0597"/>
    <w:rsid w:val="6D1E1BFC"/>
    <w:rsid w:val="6D1E4ABF"/>
    <w:rsid w:val="6D1F7993"/>
    <w:rsid w:val="6D201D79"/>
    <w:rsid w:val="6D204DB9"/>
    <w:rsid w:val="6D21161F"/>
    <w:rsid w:val="6D21370B"/>
    <w:rsid w:val="6D233823"/>
    <w:rsid w:val="6D25788F"/>
    <w:rsid w:val="6D261370"/>
    <w:rsid w:val="6D266F73"/>
    <w:rsid w:val="6D2714F6"/>
    <w:rsid w:val="6D275723"/>
    <w:rsid w:val="6D287097"/>
    <w:rsid w:val="6D2943AB"/>
    <w:rsid w:val="6D2A6A64"/>
    <w:rsid w:val="6D2B62EE"/>
    <w:rsid w:val="6D2C27DC"/>
    <w:rsid w:val="6D2D0302"/>
    <w:rsid w:val="6D2D0D85"/>
    <w:rsid w:val="6D304DE5"/>
    <w:rsid w:val="6D355F38"/>
    <w:rsid w:val="6D371181"/>
    <w:rsid w:val="6D372F2F"/>
    <w:rsid w:val="6D396CA7"/>
    <w:rsid w:val="6D3B22F2"/>
    <w:rsid w:val="6D401DE3"/>
    <w:rsid w:val="6D4318D3"/>
    <w:rsid w:val="6D433682"/>
    <w:rsid w:val="6D437B25"/>
    <w:rsid w:val="6D4573FA"/>
    <w:rsid w:val="6D480C98"/>
    <w:rsid w:val="6D4B1C52"/>
    <w:rsid w:val="6D4B2536"/>
    <w:rsid w:val="6D5008B7"/>
    <w:rsid w:val="6D504638"/>
    <w:rsid w:val="6D5104BA"/>
    <w:rsid w:val="6D516C5E"/>
    <w:rsid w:val="6D525B99"/>
    <w:rsid w:val="6D54206A"/>
    <w:rsid w:val="6D560204"/>
    <w:rsid w:val="6D562561"/>
    <w:rsid w:val="6D5A4F3A"/>
    <w:rsid w:val="6D5B2C88"/>
    <w:rsid w:val="6D5E73D8"/>
    <w:rsid w:val="6D631F76"/>
    <w:rsid w:val="6D633D24"/>
    <w:rsid w:val="6D634145"/>
    <w:rsid w:val="6D642862"/>
    <w:rsid w:val="6D662A20"/>
    <w:rsid w:val="6D697F5A"/>
    <w:rsid w:val="6D6A521D"/>
    <w:rsid w:val="6D6E4CA1"/>
    <w:rsid w:val="6D70519A"/>
    <w:rsid w:val="6D77157D"/>
    <w:rsid w:val="6D7745FD"/>
    <w:rsid w:val="6D7911E7"/>
    <w:rsid w:val="6D794294"/>
    <w:rsid w:val="6D7D6E2F"/>
    <w:rsid w:val="6D7E1333"/>
    <w:rsid w:val="6D840575"/>
    <w:rsid w:val="6D8763BB"/>
    <w:rsid w:val="6D8A7502"/>
    <w:rsid w:val="6D8B7A04"/>
    <w:rsid w:val="6D8D5671"/>
    <w:rsid w:val="6D8D777C"/>
    <w:rsid w:val="6D8F4B19"/>
    <w:rsid w:val="6D90264A"/>
    <w:rsid w:val="6D941FA8"/>
    <w:rsid w:val="6D9763E3"/>
    <w:rsid w:val="6D977820"/>
    <w:rsid w:val="6D981C1F"/>
    <w:rsid w:val="6D9930AD"/>
    <w:rsid w:val="6D9B34BE"/>
    <w:rsid w:val="6D9D0506"/>
    <w:rsid w:val="6D9D6DFF"/>
    <w:rsid w:val="6D9E6B0A"/>
    <w:rsid w:val="6D9F3137"/>
    <w:rsid w:val="6DA00AD4"/>
    <w:rsid w:val="6DA344F1"/>
    <w:rsid w:val="6DA64641"/>
    <w:rsid w:val="6DA71E62"/>
    <w:rsid w:val="6DA87F0F"/>
    <w:rsid w:val="6DA950EE"/>
    <w:rsid w:val="6DAC7479"/>
    <w:rsid w:val="6DAE1443"/>
    <w:rsid w:val="6DB12CE1"/>
    <w:rsid w:val="6DB178C7"/>
    <w:rsid w:val="6DB620A5"/>
    <w:rsid w:val="6DB7293D"/>
    <w:rsid w:val="6DB8406F"/>
    <w:rsid w:val="6DB93944"/>
    <w:rsid w:val="6DB97DE8"/>
    <w:rsid w:val="6DBF19A2"/>
    <w:rsid w:val="6DBF2595"/>
    <w:rsid w:val="6DBF657D"/>
    <w:rsid w:val="6DC137E1"/>
    <w:rsid w:val="6DC5053A"/>
    <w:rsid w:val="6DC522E8"/>
    <w:rsid w:val="6DC9627D"/>
    <w:rsid w:val="6DCA750F"/>
    <w:rsid w:val="6DCC18C9"/>
    <w:rsid w:val="6DCC728C"/>
    <w:rsid w:val="6DD11AC8"/>
    <w:rsid w:val="6DD24E34"/>
    <w:rsid w:val="6DD36086"/>
    <w:rsid w:val="6DD40010"/>
    <w:rsid w:val="6DDB0A54"/>
    <w:rsid w:val="6DDC56BF"/>
    <w:rsid w:val="6DDE15FC"/>
    <w:rsid w:val="6DDF6BAD"/>
    <w:rsid w:val="6DE23A75"/>
    <w:rsid w:val="6DE27085"/>
    <w:rsid w:val="6DE33221"/>
    <w:rsid w:val="6DE34AE4"/>
    <w:rsid w:val="6DE37077"/>
    <w:rsid w:val="6DE4089A"/>
    <w:rsid w:val="6DE72FEC"/>
    <w:rsid w:val="6DE87B6A"/>
    <w:rsid w:val="6DEA1D4F"/>
    <w:rsid w:val="6DEC1F6B"/>
    <w:rsid w:val="6DEC7A10"/>
    <w:rsid w:val="6DED2667"/>
    <w:rsid w:val="6DEE28D4"/>
    <w:rsid w:val="6DEF7365"/>
    <w:rsid w:val="6DF42BCE"/>
    <w:rsid w:val="6DF43F4C"/>
    <w:rsid w:val="6DF8446C"/>
    <w:rsid w:val="6DF85339"/>
    <w:rsid w:val="6DF901E4"/>
    <w:rsid w:val="6DFA2361"/>
    <w:rsid w:val="6DFB7BEB"/>
    <w:rsid w:val="6DFD5F26"/>
    <w:rsid w:val="6E016451"/>
    <w:rsid w:val="6E0252EB"/>
    <w:rsid w:val="6E041063"/>
    <w:rsid w:val="6E0574EF"/>
    <w:rsid w:val="6E0D71E1"/>
    <w:rsid w:val="6E0E5A3E"/>
    <w:rsid w:val="6E10525F"/>
    <w:rsid w:val="6E17381A"/>
    <w:rsid w:val="6E182AEA"/>
    <w:rsid w:val="6E183B22"/>
    <w:rsid w:val="6E1B1C78"/>
    <w:rsid w:val="6E1D3ED3"/>
    <w:rsid w:val="6E1E1EAA"/>
    <w:rsid w:val="6E1F1379"/>
    <w:rsid w:val="6E207070"/>
    <w:rsid w:val="6E227CFA"/>
    <w:rsid w:val="6E2443F2"/>
    <w:rsid w:val="6E250FD9"/>
    <w:rsid w:val="6E25722B"/>
    <w:rsid w:val="6E27243E"/>
    <w:rsid w:val="6E272ECF"/>
    <w:rsid w:val="6E2C1F47"/>
    <w:rsid w:val="6E2E4332"/>
    <w:rsid w:val="6E3126CC"/>
    <w:rsid w:val="6E33357D"/>
    <w:rsid w:val="6E333E26"/>
    <w:rsid w:val="6E344064"/>
    <w:rsid w:val="6E3556C0"/>
    <w:rsid w:val="6E377D58"/>
    <w:rsid w:val="6E3851B0"/>
    <w:rsid w:val="6E3D4575"/>
    <w:rsid w:val="6E414065"/>
    <w:rsid w:val="6E4432B6"/>
    <w:rsid w:val="6E4633A0"/>
    <w:rsid w:val="6E482586"/>
    <w:rsid w:val="6E49116B"/>
    <w:rsid w:val="6E4964A3"/>
    <w:rsid w:val="6E4A0175"/>
    <w:rsid w:val="6E4D1A96"/>
    <w:rsid w:val="6E4D1BD4"/>
    <w:rsid w:val="6E4D404F"/>
    <w:rsid w:val="6E510020"/>
    <w:rsid w:val="6E522AE8"/>
    <w:rsid w:val="6E535B46"/>
    <w:rsid w:val="6E5518BE"/>
    <w:rsid w:val="6E5604DC"/>
    <w:rsid w:val="6E573888"/>
    <w:rsid w:val="6E5A0C83"/>
    <w:rsid w:val="6E5A4367"/>
    <w:rsid w:val="6E5F098F"/>
    <w:rsid w:val="6E600263"/>
    <w:rsid w:val="6E654A94"/>
    <w:rsid w:val="6E67143B"/>
    <w:rsid w:val="6E673611"/>
    <w:rsid w:val="6E686BC9"/>
    <w:rsid w:val="6E6B644C"/>
    <w:rsid w:val="6E6E2F4F"/>
    <w:rsid w:val="6E7066F8"/>
    <w:rsid w:val="6E723759"/>
    <w:rsid w:val="6E775CD9"/>
    <w:rsid w:val="6E777C3A"/>
    <w:rsid w:val="6E78268B"/>
    <w:rsid w:val="6E7A51DB"/>
    <w:rsid w:val="6E7B6E4B"/>
    <w:rsid w:val="6E7C408E"/>
    <w:rsid w:val="6E7C509D"/>
    <w:rsid w:val="6E7C68E8"/>
    <w:rsid w:val="6E812652"/>
    <w:rsid w:val="6E843F52"/>
    <w:rsid w:val="6E870D4A"/>
    <w:rsid w:val="6E8976FC"/>
    <w:rsid w:val="6E8A183B"/>
    <w:rsid w:val="6E8B3532"/>
    <w:rsid w:val="6E8C2E06"/>
    <w:rsid w:val="6E900B48"/>
    <w:rsid w:val="6E903783"/>
    <w:rsid w:val="6E9130A4"/>
    <w:rsid w:val="6E927F5A"/>
    <w:rsid w:val="6E9341DF"/>
    <w:rsid w:val="6E957946"/>
    <w:rsid w:val="6E957F0D"/>
    <w:rsid w:val="6E96010E"/>
    <w:rsid w:val="6E9B60E0"/>
    <w:rsid w:val="6E9E2C78"/>
    <w:rsid w:val="6EA12D56"/>
    <w:rsid w:val="6EA16A65"/>
    <w:rsid w:val="6EA63EC8"/>
    <w:rsid w:val="6EA77C40"/>
    <w:rsid w:val="6EAB14DE"/>
    <w:rsid w:val="6EAB3BD4"/>
    <w:rsid w:val="6EAD16FA"/>
    <w:rsid w:val="6EAD34A8"/>
    <w:rsid w:val="6EB04027"/>
    <w:rsid w:val="6EB0434F"/>
    <w:rsid w:val="6EB16B18"/>
    <w:rsid w:val="6EB315E2"/>
    <w:rsid w:val="6EB505AF"/>
    <w:rsid w:val="6EB72579"/>
    <w:rsid w:val="6EB81E4D"/>
    <w:rsid w:val="6EB83244"/>
    <w:rsid w:val="6EBA034D"/>
    <w:rsid w:val="6EBA6B69"/>
    <w:rsid w:val="6EBC1C33"/>
    <w:rsid w:val="6EBD4AFB"/>
    <w:rsid w:val="6EBF142E"/>
    <w:rsid w:val="6EBF50F6"/>
    <w:rsid w:val="6EC06727"/>
    <w:rsid w:val="6EC26841"/>
    <w:rsid w:val="6EC66318"/>
    <w:rsid w:val="6EC67F37"/>
    <w:rsid w:val="6EC802E2"/>
    <w:rsid w:val="6EC84D35"/>
    <w:rsid w:val="6ECB246A"/>
    <w:rsid w:val="6ECB25C5"/>
    <w:rsid w:val="6ECB6854"/>
    <w:rsid w:val="6ECE2229"/>
    <w:rsid w:val="6ED07197"/>
    <w:rsid w:val="6ED476B9"/>
    <w:rsid w:val="6ED529FF"/>
    <w:rsid w:val="6ED60E3B"/>
    <w:rsid w:val="6ED63853"/>
    <w:rsid w:val="6ED63FA8"/>
    <w:rsid w:val="6ED8291E"/>
    <w:rsid w:val="6ED96F62"/>
    <w:rsid w:val="6EDA6267"/>
    <w:rsid w:val="6EDB3A7D"/>
    <w:rsid w:val="6EDC1FE0"/>
    <w:rsid w:val="6EDF73DA"/>
    <w:rsid w:val="6EDF7BA5"/>
    <w:rsid w:val="6EE13152"/>
    <w:rsid w:val="6EE16D8A"/>
    <w:rsid w:val="6EE2514B"/>
    <w:rsid w:val="6EE33610"/>
    <w:rsid w:val="6EE64C0C"/>
    <w:rsid w:val="6EE71DA1"/>
    <w:rsid w:val="6EEC21C3"/>
    <w:rsid w:val="6EED01FE"/>
    <w:rsid w:val="6EF058DB"/>
    <w:rsid w:val="6EF16C37"/>
    <w:rsid w:val="6EF97661"/>
    <w:rsid w:val="6EFD311B"/>
    <w:rsid w:val="6EFE2F7A"/>
    <w:rsid w:val="6EFE4F57"/>
    <w:rsid w:val="6EFF182A"/>
    <w:rsid w:val="6EFF4F77"/>
    <w:rsid w:val="6F00337B"/>
    <w:rsid w:val="6F015B45"/>
    <w:rsid w:val="6F0230C8"/>
    <w:rsid w:val="6F042D6B"/>
    <w:rsid w:val="6F046E40"/>
    <w:rsid w:val="6F074153"/>
    <w:rsid w:val="6F09192D"/>
    <w:rsid w:val="6F094457"/>
    <w:rsid w:val="6F0A08FB"/>
    <w:rsid w:val="6F0B6A07"/>
    <w:rsid w:val="6F141779"/>
    <w:rsid w:val="6F15082E"/>
    <w:rsid w:val="6F15104E"/>
    <w:rsid w:val="6F15244A"/>
    <w:rsid w:val="6F167B9A"/>
    <w:rsid w:val="6F177500"/>
    <w:rsid w:val="6F1B76A9"/>
    <w:rsid w:val="6F1C6419"/>
    <w:rsid w:val="6F1F2F1A"/>
    <w:rsid w:val="6F20011E"/>
    <w:rsid w:val="6F2332AE"/>
    <w:rsid w:val="6F260576"/>
    <w:rsid w:val="6F26371C"/>
    <w:rsid w:val="6F2C2ECD"/>
    <w:rsid w:val="6F2C51F0"/>
    <w:rsid w:val="6F342E7E"/>
    <w:rsid w:val="6F35349E"/>
    <w:rsid w:val="6F370FC4"/>
    <w:rsid w:val="6F375468"/>
    <w:rsid w:val="6F3B5E60"/>
    <w:rsid w:val="6F3E4DAC"/>
    <w:rsid w:val="6F3F60CB"/>
    <w:rsid w:val="6F410095"/>
    <w:rsid w:val="6F411E43"/>
    <w:rsid w:val="6F4251EF"/>
    <w:rsid w:val="6F43070F"/>
    <w:rsid w:val="6F4436E1"/>
    <w:rsid w:val="6F451DE9"/>
    <w:rsid w:val="6F48524F"/>
    <w:rsid w:val="6F4B2CC1"/>
    <w:rsid w:val="6F4C6C6D"/>
    <w:rsid w:val="6F516A80"/>
    <w:rsid w:val="6F541D54"/>
    <w:rsid w:val="6F54601A"/>
    <w:rsid w:val="6F555203"/>
    <w:rsid w:val="6F5558EE"/>
    <w:rsid w:val="6F563B40"/>
    <w:rsid w:val="6F571076"/>
    <w:rsid w:val="6F576B63"/>
    <w:rsid w:val="6F5A1E86"/>
    <w:rsid w:val="6F5C477C"/>
    <w:rsid w:val="6F5C66C4"/>
    <w:rsid w:val="6F5C774C"/>
    <w:rsid w:val="6F5D7E64"/>
    <w:rsid w:val="6F5F7E4E"/>
    <w:rsid w:val="6F60051B"/>
    <w:rsid w:val="6F621696"/>
    <w:rsid w:val="6F645AEC"/>
    <w:rsid w:val="6F6A107C"/>
    <w:rsid w:val="6F6B1CD6"/>
    <w:rsid w:val="6F6C60F6"/>
    <w:rsid w:val="6F7264A0"/>
    <w:rsid w:val="6F742218"/>
    <w:rsid w:val="6F745D74"/>
    <w:rsid w:val="6F7D0676"/>
    <w:rsid w:val="6F7E3097"/>
    <w:rsid w:val="6F8024B1"/>
    <w:rsid w:val="6F8130D6"/>
    <w:rsid w:val="6F8B1C7A"/>
    <w:rsid w:val="6F8C1F27"/>
    <w:rsid w:val="6F8D32DA"/>
    <w:rsid w:val="6F912DCA"/>
    <w:rsid w:val="6F93391A"/>
    <w:rsid w:val="6F952A90"/>
    <w:rsid w:val="6F9603E0"/>
    <w:rsid w:val="6F984159"/>
    <w:rsid w:val="6F985B0E"/>
    <w:rsid w:val="6F9E3841"/>
    <w:rsid w:val="6F9F14FB"/>
    <w:rsid w:val="6FA40089"/>
    <w:rsid w:val="6FA66981"/>
    <w:rsid w:val="6FA7439C"/>
    <w:rsid w:val="6FA83C70"/>
    <w:rsid w:val="6FAD3365"/>
    <w:rsid w:val="6FB31B6B"/>
    <w:rsid w:val="6FB3610E"/>
    <w:rsid w:val="6FB40867"/>
    <w:rsid w:val="6FB42615"/>
    <w:rsid w:val="6FB56F1F"/>
    <w:rsid w:val="6FB955E3"/>
    <w:rsid w:val="6FBB39A3"/>
    <w:rsid w:val="6FBB6EEB"/>
    <w:rsid w:val="6FBC1370"/>
    <w:rsid w:val="6FBF3416"/>
    <w:rsid w:val="6FC00FB9"/>
    <w:rsid w:val="6FC30AAA"/>
    <w:rsid w:val="6FC30BDE"/>
    <w:rsid w:val="6FC446FF"/>
    <w:rsid w:val="6FC54822"/>
    <w:rsid w:val="6FC84C4D"/>
    <w:rsid w:val="6FCA008A"/>
    <w:rsid w:val="6FCA3B9E"/>
    <w:rsid w:val="6FCA62DC"/>
    <w:rsid w:val="6FCD2490"/>
    <w:rsid w:val="6FCD4D28"/>
    <w:rsid w:val="6FD11419"/>
    <w:rsid w:val="6FD239AA"/>
    <w:rsid w:val="6FD76303"/>
    <w:rsid w:val="6FD9651F"/>
    <w:rsid w:val="6FDA1F7C"/>
    <w:rsid w:val="6FDB2297"/>
    <w:rsid w:val="6FE54E2E"/>
    <w:rsid w:val="6FE56C72"/>
    <w:rsid w:val="6FE74798"/>
    <w:rsid w:val="6FE90682"/>
    <w:rsid w:val="6FED7402"/>
    <w:rsid w:val="6FF119D9"/>
    <w:rsid w:val="6FF11ABB"/>
    <w:rsid w:val="6FF279BE"/>
    <w:rsid w:val="6FF32CE8"/>
    <w:rsid w:val="6FF3357E"/>
    <w:rsid w:val="6FF45107"/>
    <w:rsid w:val="6FF61B3B"/>
    <w:rsid w:val="6FF73F6E"/>
    <w:rsid w:val="6FF944CB"/>
    <w:rsid w:val="6FFA05B3"/>
    <w:rsid w:val="6FFC7AF7"/>
    <w:rsid w:val="6FFE3C4D"/>
    <w:rsid w:val="70001CFE"/>
    <w:rsid w:val="70020BB4"/>
    <w:rsid w:val="7003534A"/>
    <w:rsid w:val="7005506F"/>
    <w:rsid w:val="70064193"/>
    <w:rsid w:val="70077843"/>
    <w:rsid w:val="70097416"/>
    <w:rsid w:val="700B4833"/>
    <w:rsid w:val="70116288"/>
    <w:rsid w:val="701337DF"/>
    <w:rsid w:val="70141A6E"/>
    <w:rsid w:val="70152748"/>
    <w:rsid w:val="70154F86"/>
    <w:rsid w:val="70161F73"/>
    <w:rsid w:val="701B105F"/>
    <w:rsid w:val="701B2694"/>
    <w:rsid w:val="701B6B38"/>
    <w:rsid w:val="701D049E"/>
    <w:rsid w:val="701E667E"/>
    <w:rsid w:val="701F7D23"/>
    <w:rsid w:val="7020414E"/>
    <w:rsid w:val="7021355F"/>
    <w:rsid w:val="70227EC6"/>
    <w:rsid w:val="70231A8E"/>
    <w:rsid w:val="702459EC"/>
    <w:rsid w:val="70271038"/>
    <w:rsid w:val="702754DC"/>
    <w:rsid w:val="702A0B29"/>
    <w:rsid w:val="702A28D7"/>
    <w:rsid w:val="702D36B5"/>
    <w:rsid w:val="702E1AC6"/>
    <w:rsid w:val="702F7EED"/>
    <w:rsid w:val="70342427"/>
    <w:rsid w:val="703433AB"/>
    <w:rsid w:val="70360A9C"/>
    <w:rsid w:val="703662A6"/>
    <w:rsid w:val="704407EC"/>
    <w:rsid w:val="704C6CF1"/>
    <w:rsid w:val="70530B36"/>
    <w:rsid w:val="705774EB"/>
    <w:rsid w:val="705A7660"/>
    <w:rsid w:val="705B631C"/>
    <w:rsid w:val="705D4A5A"/>
    <w:rsid w:val="705F4B43"/>
    <w:rsid w:val="706349F7"/>
    <w:rsid w:val="7064363C"/>
    <w:rsid w:val="70650AC4"/>
    <w:rsid w:val="70670360"/>
    <w:rsid w:val="706A7177"/>
    <w:rsid w:val="706C0AA4"/>
    <w:rsid w:val="706C2EEF"/>
    <w:rsid w:val="706E4EB9"/>
    <w:rsid w:val="70707D6D"/>
    <w:rsid w:val="70724718"/>
    <w:rsid w:val="70765B1C"/>
    <w:rsid w:val="70781894"/>
    <w:rsid w:val="707A385E"/>
    <w:rsid w:val="707A560C"/>
    <w:rsid w:val="707B1384"/>
    <w:rsid w:val="707B2D54"/>
    <w:rsid w:val="707C4B62"/>
    <w:rsid w:val="707D24FB"/>
    <w:rsid w:val="707F2C23"/>
    <w:rsid w:val="70853FB1"/>
    <w:rsid w:val="70932B72"/>
    <w:rsid w:val="70957A81"/>
    <w:rsid w:val="709C135B"/>
    <w:rsid w:val="709F5CEB"/>
    <w:rsid w:val="70A11BF6"/>
    <w:rsid w:val="70A1528F"/>
    <w:rsid w:val="70A5068D"/>
    <w:rsid w:val="70A575E2"/>
    <w:rsid w:val="70AA6F37"/>
    <w:rsid w:val="70AE175A"/>
    <w:rsid w:val="70B450CA"/>
    <w:rsid w:val="70B5035A"/>
    <w:rsid w:val="70B60F85"/>
    <w:rsid w:val="70B705C7"/>
    <w:rsid w:val="70B7693A"/>
    <w:rsid w:val="70B84386"/>
    <w:rsid w:val="70B86135"/>
    <w:rsid w:val="70BA00FF"/>
    <w:rsid w:val="70C03159"/>
    <w:rsid w:val="70C268FE"/>
    <w:rsid w:val="70C4708B"/>
    <w:rsid w:val="70C727EC"/>
    <w:rsid w:val="70C77C57"/>
    <w:rsid w:val="70CB19B4"/>
    <w:rsid w:val="70CD4060"/>
    <w:rsid w:val="70CF0F02"/>
    <w:rsid w:val="70D24D6B"/>
    <w:rsid w:val="70D32F6E"/>
    <w:rsid w:val="70D33CEA"/>
    <w:rsid w:val="70D504AA"/>
    <w:rsid w:val="70D65A70"/>
    <w:rsid w:val="70D65CA9"/>
    <w:rsid w:val="70D74B9D"/>
    <w:rsid w:val="70D94A59"/>
    <w:rsid w:val="70DD3DED"/>
    <w:rsid w:val="70DD7EAB"/>
    <w:rsid w:val="70DF58D5"/>
    <w:rsid w:val="70E17439"/>
    <w:rsid w:val="70E23EC2"/>
    <w:rsid w:val="70E433CD"/>
    <w:rsid w:val="70E47610"/>
    <w:rsid w:val="70EA0C09"/>
    <w:rsid w:val="70EB5A12"/>
    <w:rsid w:val="70EC49AE"/>
    <w:rsid w:val="70ED4CC5"/>
    <w:rsid w:val="70EE0E3C"/>
    <w:rsid w:val="70F33611"/>
    <w:rsid w:val="70F517FF"/>
    <w:rsid w:val="70F57389"/>
    <w:rsid w:val="70F61535"/>
    <w:rsid w:val="70F67BE2"/>
    <w:rsid w:val="70F71AC9"/>
    <w:rsid w:val="70F80AF3"/>
    <w:rsid w:val="70F96E79"/>
    <w:rsid w:val="70FA499F"/>
    <w:rsid w:val="70FC0717"/>
    <w:rsid w:val="70FD7FEB"/>
    <w:rsid w:val="71015EB7"/>
    <w:rsid w:val="71033854"/>
    <w:rsid w:val="71063344"/>
    <w:rsid w:val="71080E6A"/>
    <w:rsid w:val="71086732"/>
    <w:rsid w:val="710870BC"/>
    <w:rsid w:val="710E21F8"/>
    <w:rsid w:val="711041C2"/>
    <w:rsid w:val="71105F71"/>
    <w:rsid w:val="7113494B"/>
    <w:rsid w:val="71145A61"/>
    <w:rsid w:val="71171CC7"/>
    <w:rsid w:val="71183674"/>
    <w:rsid w:val="71187795"/>
    <w:rsid w:val="711A6DEF"/>
    <w:rsid w:val="711C128D"/>
    <w:rsid w:val="711C2B67"/>
    <w:rsid w:val="711E068D"/>
    <w:rsid w:val="71213CDA"/>
    <w:rsid w:val="7123316D"/>
    <w:rsid w:val="71235CA4"/>
    <w:rsid w:val="712612F0"/>
    <w:rsid w:val="712774C7"/>
    <w:rsid w:val="712832BA"/>
    <w:rsid w:val="71290DE0"/>
    <w:rsid w:val="712B6906"/>
    <w:rsid w:val="712D08D1"/>
    <w:rsid w:val="712E574D"/>
    <w:rsid w:val="713102D0"/>
    <w:rsid w:val="713E2ADE"/>
    <w:rsid w:val="713E488C"/>
    <w:rsid w:val="713E785C"/>
    <w:rsid w:val="714017BD"/>
    <w:rsid w:val="7141437C"/>
    <w:rsid w:val="714300F4"/>
    <w:rsid w:val="7147025B"/>
    <w:rsid w:val="714840D3"/>
    <w:rsid w:val="715440AF"/>
    <w:rsid w:val="715776FB"/>
    <w:rsid w:val="715910CF"/>
    <w:rsid w:val="71593474"/>
    <w:rsid w:val="715C11B6"/>
    <w:rsid w:val="715F76FB"/>
    <w:rsid w:val="716562BC"/>
    <w:rsid w:val="71662034"/>
    <w:rsid w:val="71697491"/>
    <w:rsid w:val="716B764B"/>
    <w:rsid w:val="716D3FD6"/>
    <w:rsid w:val="716E72B6"/>
    <w:rsid w:val="716F2C97"/>
    <w:rsid w:val="7170162D"/>
    <w:rsid w:val="71704C61"/>
    <w:rsid w:val="71747E95"/>
    <w:rsid w:val="717511A8"/>
    <w:rsid w:val="717604C9"/>
    <w:rsid w:val="71771A6C"/>
    <w:rsid w:val="71791D68"/>
    <w:rsid w:val="717B156B"/>
    <w:rsid w:val="717E737E"/>
    <w:rsid w:val="7183069D"/>
    <w:rsid w:val="71834994"/>
    <w:rsid w:val="7189187F"/>
    <w:rsid w:val="71894ABF"/>
    <w:rsid w:val="718C0E38"/>
    <w:rsid w:val="718C4A77"/>
    <w:rsid w:val="718E630D"/>
    <w:rsid w:val="719330AC"/>
    <w:rsid w:val="719B4C48"/>
    <w:rsid w:val="71A031B1"/>
    <w:rsid w:val="71A1306D"/>
    <w:rsid w:val="71A8399A"/>
    <w:rsid w:val="71A94697"/>
    <w:rsid w:val="71AA6A0B"/>
    <w:rsid w:val="71AC3653"/>
    <w:rsid w:val="71AC3EEB"/>
    <w:rsid w:val="71AC4B7D"/>
    <w:rsid w:val="71AD6435"/>
    <w:rsid w:val="71AE68B5"/>
    <w:rsid w:val="71B10F6A"/>
    <w:rsid w:val="71B27772"/>
    <w:rsid w:val="71B92E72"/>
    <w:rsid w:val="71B96608"/>
    <w:rsid w:val="71BA00FF"/>
    <w:rsid w:val="71BA7C8A"/>
    <w:rsid w:val="71BC7EA6"/>
    <w:rsid w:val="71BF47BE"/>
    <w:rsid w:val="71C56D5B"/>
    <w:rsid w:val="71C805F9"/>
    <w:rsid w:val="71CA4371"/>
    <w:rsid w:val="71CB1E97"/>
    <w:rsid w:val="71CC4671"/>
    <w:rsid w:val="71CF6311"/>
    <w:rsid w:val="71D26CE8"/>
    <w:rsid w:val="71D46F9E"/>
    <w:rsid w:val="71D673BE"/>
    <w:rsid w:val="71D753D9"/>
    <w:rsid w:val="71D95CC9"/>
    <w:rsid w:val="71DB570E"/>
    <w:rsid w:val="71DF3BF0"/>
    <w:rsid w:val="71DF6F94"/>
    <w:rsid w:val="71E26F62"/>
    <w:rsid w:val="71E27049"/>
    <w:rsid w:val="71E455B9"/>
    <w:rsid w:val="71E573FD"/>
    <w:rsid w:val="71E910A8"/>
    <w:rsid w:val="71EA4E09"/>
    <w:rsid w:val="71EC42E8"/>
    <w:rsid w:val="71ED65C8"/>
    <w:rsid w:val="71F15DA2"/>
    <w:rsid w:val="71F82FF5"/>
    <w:rsid w:val="71F9290B"/>
    <w:rsid w:val="71FB6C9D"/>
    <w:rsid w:val="71FD1368"/>
    <w:rsid w:val="71FD4747"/>
    <w:rsid w:val="72035AD5"/>
    <w:rsid w:val="72042138"/>
    <w:rsid w:val="720571D9"/>
    <w:rsid w:val="72071122"/>
    <w:rsid w:val="72083558"/>
    <w:rsid w:val="720930EC"/>
    <w:rsid w:val="720D24B0"/>
    <w:rsid w:val="720F2DA6"/>
    <w:rsid w:val="720F6228"/>
    <w:rsid w:val="720F7FD6"/>
    <w:rsid w:val="72135D18"/>
    <w:rsid w:val="72140E40"/>
    <w:rsid w:val="721419A8"/>
    <w:rsid w:val="72156455"/>
    <w:rsid w:val="72186410"/>
    <w:rsid w:val="721B0ED1"/>
    <w:rsid w:val="721B2E1F"/>
    <w:rsid w:val="721D26F3"/>
    <w:rsid w:val="721D67D9"/>
    <w:rsid w:val="722215DD"/>
    <w:rsid w:val="72231E64"/>
    <w:rsid w:val="722D5B52"/>
    <w:rsid w:val="722D66AE"/>
    <w:rsid w:val="722E589B"/>
    <w:rsid w:val="72300229"/>
    <w:rsid w:val="72323CC5"/>
    <w:rsid w:val="72343EE1"/>
    <w:rsid w:val="72364E07"/>
    <w:rsid w:val="72367C59"/>
    <w:rsid w:val="723A2941"/>
    <w:rsid w:val="723F5895"/>
    <w:rsid w:val="72404633"/>
    <w:rsid w:val="724063E2"/>
    <w:rsid w:val="72435ED2"/>
    <w:rsid w:val="72442376"/>
    <w:rsid w:val="7245221F"/>
    <w:rsid w:val="724719E8"/>
    <w:rsid w:val="724A54B2"/>
    <w:rsid w:val="724A6652"/>
    <w:rsid w:val="724C4D86"/>
    <w:rsid w:val="725112C2"/>
    <w:rsid w:val="7253298F"/>
    <w:rsid w:val="72534367"/>
    <w:rsid w:val="7254640E"/>
    <w:rsid w:val="72590A82"/>
    <w:rsid w:val="725A2FB5"/>
    <w:rsid w:val="725B146D"/>
    <w:rsid w:val="725B2E01"/>
    <w:rsid w:val="725B321B"/>
    <w:rsid w:val="725C02F8"/>
    <w:rsid w:val="725E2D0C"/>
    <w:rsid w:val="72645F87"/>
    <w:rsid w:val="726508C3"/>
    <w:rsid w:val="726631BE"/>
    <w:rsid w:val="72671BC0"/>
    <w:rsid w:val="726A1EA4"/>
    <w:rsid w:val="726F4F19"/>
    <w:rsid w:val="726F54B1"/>
    <w:rsid w:val="72784DFD"/>
    <w:rsid w:val="727918F3"/>
    <w:rsid w:val="727D13E4"/>
    <w:rsid w:val="72816160"/>
    <w:rsid w:val="72824C4C"/>
    <w:rsid w:val="72850CFB"/>
    <w:rsid w:val="728977B6"/>
    <w:rsid w:val="728A2521"/>
    <w:rsid w:val="728A7E43"/>
    <w:rsid w:val="728E1843"/>
    <w:rsid w:val="728F2D30"/>
    <w:rsid w:val="72903084"/>
    <w:rsid w:val="72914348"/>
    <w:rsid w:val="72941B99"/>
    <w:rsid w:val="7294672D"/>
    <w:rsid w:val="72954FEE"/>
    <w:rsid w:val="7298472E"/>
    <w:rsid w:val="729D1A86"/>
    <w:rsid w:val="72A44B62"/>
    <w:rsid w:val="72A55D78"/>
    <w:rsid w:val="72AC1CC9"/>
    <w:rsid w:val="72AD7567"/>
    <w:rsid w:val="72B168CD"/>
    <w:rsid w:val="72B50DA3"/>
    <w:rsid w:val="72B86A25"/>
    <w:rsid w:val="72BA43E6"/>
    <w:rsid w:val="72BB6130"/>
    <w:rsid w:val="72BC63B0"/>
    <w:rsid w:val="72BC64F7"/>
    <w:rsid w:val="72C04E43"/>
    <w:rsid w:val="72C07522"/>
    <w:rsid w:val="72C4515F"/>
    <w:rsid w:val="72C47013"/>
    <w:rsid w:val="72C50FCD"/>
    <w:rsid w:val="72C5281B"/>
    <w:rsid w:val="72C60FDD"/>
    <w:rsid w:val="72C74D55"/>
    <w:rsid w:val="72C936CE"/>
    <w:rsid w:val="72CF1FB9"/>
    <w:rsid w:val="72D03C09"/>
    <w:rsid w:val="72D07765"/>
    <w:rsid w:val="72D213B6"/>
    <w:rsid w:val="72D354A8"/>
    <w:rsid w:val="72D53AEE"/>
    <w:rsid w:val="72D54D7C"/>
    <w:rsid w:val="72D74F98"/>
    <w:rsid w:val="72DB1260"/>
    <w:rsid w:val="72E10A70"/>
    <w:rsid w:val="72E12F61"/>
    <w:rsid w:val="72E31516"/>
    <w:rsid w:val="72E45541"/>
    <w:rsid w:val="72E90827"/>
    <w:rsid w:val="72EA4BF8"/>
    <w:rsid w:val="72EB459F"/>
    <w:rsid w:val="72F21DD2"/>
    <w:rsid w:val="72F53670"/>
    <w:rsid w:val="72F54616"/>
    <w:rsid w:val="72FE01D0"/>
    <w:rsid w:val="72FE7617"/>
    <w:rsid w:val="72FF004B"/>
    <w:rsid w:val="730103DF"/>
    <w:rsid w:val="73013DC3"/>
    <w:rsid w:val="730178BE"/>
    <w:rsid w:val="730835F5"/>
    <w:rsid w:val="73091B1F"/>
    <w:rsid w:val="730E028E"/>
    <w:rsid w:val="731004DA"/>
    <w:rsid w:val="73100A0F"/>
    <w:rsid w:val="73104FCF"/>
    <w:rsid w:val="73124222"/>
    <w:rsid w:val="7312735F"/>
    <w:rsid w:val="73132A9C"/>
    <w:rsid w:val="731358A4"/>
    <w:rsid w:val="73152F7F"/>
    <w:rsid w:val="73191E12"/>
    <w:rsid w:val="731F6DE8"/>
    <w:rsid w:val="73216213"/>
    <w:rsid w:val="73233E20"/>
    <w:rsid w:val="73244059"/>
    <w:rsid w:val="732775A1"/>
    <w:rsid w:val="732B20AB"/>
    <w:rsid w:val="732C1B8E"/>
    <w:rsid w:val="73325BCA"/>
    <w:rsid w:val="73334198"/>
    <w:rsid w:val="73345EC3"/>
    <w:rsid w:val="73351CBE"/>
    <w:rsid w:val="733A5C23"/>
    <w:rsid w:val="733D3DEB"/>
    <w:rsid w:val="733F2B3D"/>
    <w:rsid w:val="733F48EB"/>
    <w:rsid w:val="734343DB"/>
    <w:rsid w:val="73440DFC"/>
    <w:rsid w:val="73451AC5"/>
    <w:rsid w:val="73467A28"/>
    <w:rsid w:val="734D7008"/>
    <w:rsid w:val="734E0BFD"/>
    <w:rsid w:val="734E7F61"/>
    <w:rsid w:val="734F10C2"/>
    <w:rsid w:val="734F2037"/>
    <w:rsid w:val="734F7787"/>
    <w:rsid w:val="73516ED9"/>
    <w:rsid w:val="7351765C"/>
    <w:rsid w:val="73532623"/>
    <w:rsid w:val="73533907"/>
    <w:rsid w:val="735A74FA"/>
    <w:rsid w:val="735C1231"/>
    <w:rsid w:val="735C549D"/>
    <w:rsid w:val="735E0012"/>
    <w:rsid w:val="73612A95"/>
    <w:rsid w:val="736276FC"/>
    <w:rsid w:val="73661B7B"/>
    <w:rsid w:val="73666F3C"/>
    <w:rsid w:val="73687CCA"/>
    <w:rsid w:val="736B1B84"/>
    <w:rsid w:val="736C5255"/>
    <w:rsid w:val="7370719A"/>
    <w:rsid w:val="73725AE3"/>
    <w:rsid w:val="73751F45"/>
    <w:rsid w:val="73754CED"/>
    <w:rsid w:val="73761202"/>
    <w:rsid w:val="73770529"/>
    <w:rsid w:val="737F36E8"/>
    <w:rsid w:val="737F73DD"/>
    <w:rsid w:val="73816CB2"/>
    <w:rsid w:val="73830920"/>
    <w:rsid w:val="738317CC"/>
    <w:rsid w:val="738549F4"/>
    <w:rsid w:val="738715D2"/>
    <w:rsid w:val="7387721E"/>
    <w:rsid w:val="738C4B74"/>
    <w:rsid w:val="73916786"/>
    <w:rsid w:val="739226DE"/>
    <w:rsid w:val="73922C6D"/>
    <w:rsid w:val="739365CE"/>
    <w:rsid w:val="73966C01"/>
    <w:rsid w:val="739757DD"/>
    <w:rsid w:val="73977025"/>
    <w:rsid w:val="73982D33"/>
    <w:rsid w:val="7399224D"/>
    <w:rsid w:val="739B1790"/>
    <w:rsid w:val="739F35DC"/>
    <w:rsid w:val="73A00212"/>
    <w:rsid w:val="73A06D47"/>
    <w:rsid w:val="73A17354"/>
    <w:rsid w:val="73A27A35"/>
    <w:rsid w:val="73A307A5"/>
    <w:rsid w:val="73A35E4C"/>
    <w:rsid w:val="73A66718"/>
    <w:rsid w:val="73A755BD"/>
    <w:rsid w:val="73AE0767"/>
    <w:rsid w:val="73AE1E46"/>
    <w:rsid w:val="73AF1240"/>
    <w:rsid w:val="73B01345"/>
    <w:rsid w:val="73B16A85"/>
    <w:rsid w:val="73B47087"/>
    <w:rsid w:val="73B502C2"/>
    <w:rsid w:val="73B547F4"/>
    <w:rsid w:val="73B948C6"/>
    <w:rsid w:val="73BA41A6"/>
    <w:rsid w:val="73BB1DBB"/>
    <w:rsid w:val="73BE7F06"/>
    <w:rsid w:val="73BF4107"/>
    <w:rsid w:val="73BF4564"/>
    <w:rsid w:val="73C4115F"/>
    <w:rsid w:val="73C44DF0"/>
    <w:rsid w:val="73C53042"/>
    <w:rsid w:val="73C80D84"/>
    <w:rsid w:val="73C82F79"/>
    <w:rsid w:val="73CF1701"/>
    <w:rsid w:val="73CF3EC1"/>
    <w:rsid w:val="73D07AA5"/>
    <w:rsid w:val="73D56FFD"/>
    <w:rsid w:val="73D634A1"/>
    <w:rsid w:val="73D74111"/>
    <w:rsid w:val="73D96AEE"/>
    <w:rsid w:val="73DC5B52"/>
    <w:rsid w:val="73DE2356"/>
    <w:rsid w:val="73E5172E"/>
    <w:rsid w:val="73E57170"/>
    <w:rsid w:val="73E64AC8"/>
    <w:rsid w:val="73E831D5"/>
    <w:rsid w:val="73E84F83"/>
    <w:rsid w:val="73E86C9C"/>
    <w:rsid w:val="73EA24F3"/>
    <w:rsid w:val="73EA2AA9"/>
    <w:rsid w:val="73EA672A"/>
    <w:rsid w:val="73EB534F"/>
    <w:rsid w:val="73EF6311"/>
    <w:rsid w:val="73EF767F"/>
    <w:rsid w:val="73F50FE3"/>
    <w:rsid w:val="73F676A0"/>
    <w:rsid w:val="73F73418"/>
    <w:rsid w:val="73FF7099"/>
    <w:rsid w:val="740022CC"/>
    <w:rsid w:val="740054F0"/>
    <w:rsid w:val="740105A0"/>
    <w:rsid w:val="740225A4"/>
    <w:rsid w:val="740578E3"/>
    <w:rsid w:val="74063E8F"/>
    <w:rsid w:val="74065409"/>
    <w:rsid w:val="740918E5"/>
    <w:rsid w:val="740B47F1"/>
    <w:rsid w:val="741213C8"/>
    <w:rsid w:val="741342D4"/>
    <w:rsid w:val="74155C4C"/>
    <w:rsid w:val="741C3E9E"/>
    <w:rsid w:val="74213A71"/>
    <w:rsid w:val="74246B55"/>
    <w:rsid w:val="74270C44"/>
    <w:rsid w:val="74273CFD"/>
    <w:rsid w:val="742B39C0"/>
    <w:rsid w:val="742C4E6F"/>
    <w:rsid w:val="742F670E"/>
    <w:rsid w:val="7436285F"/>
    <w:rsid w:val="74362B0F"/>
    <w:rsid w:val="74381A66"/>
    <w:rsid w:val="74387996"/>
    <w:rsid w:val="743B3304"/>
    <w:rsid w:val="743D6B71"/>
    <w:rsid w:val="743F5F38"/>
    <w:rsid w:val="74413D88"/>
    <w:rsid w:val="7443040B"/>
    <w:rsid w:val="74433CAF"/>
    <w:rsid w:val="74485896"/>
    <w:rsid w:val="744C1B1C"/>
    <w:rsid w:val="744C2135"/>
    <w:rsid w:val="744F48D4"/>
    <w:rsid w:val="74520323"/>
    <w:rsid w:val="74546174"/>
    <w:rsid w:val="7456013E"/>
    <w:rsid w:val="7456127F"/>
    <w:rsid w:val="745A143F"/>
    <w:rsid w:val="745F1E7B"/>
    <w:rsid w:val="74602D6B"/>
    <w:rsid w:val="7460720F"/>
    <w:rsid w:val="7463285B"/>
    <w:rsid w:val="74632BE1"/>
    <w:rsid w:val="74650381"/>
    <w:rsid w:val="746842EE"/>
    <w:rsid w:val="74730CF0"/>
    <w:rsid w:val="74732A9E"/>
    <w:rsid w:val="74786307"/>
    <w:rsid w:val="747E0804"/>
    <w:rsid w:val="74814569"/>
    <w:rsid w:val="74852970"/>
    <w:rsid w:val="7487654A"/>
    <w:rsid w:val="74882F48"/>
    <w:rsid w:val="748A6BE7"/>
    <w:rsid w:val="748B42AD"/>
    <w:rsid w:val="748D1FC9"/>
    <w:rsid w:val="748D6104"/>
    <w:rsid w:val="74920D3F"/>
    <w:rsid w:val="74923AD4"/>
    <w:rsid w:val="749314A6"/>
    <w:rsid w:val="74982505"/>
    <w:rsid w:val="7499002B"/>
    <w:rsid w:val="749B1FF5"/>
    <w:rsid w:val="749D5D6D"/>
    <w:rsid w:val="74A215D5"/>
    <w:rsid w:val="74A3398C"/>
    <w:rsid w:val="74A34201"/>
    <w:rsid w:val="74A664F6"/>
    <w:rsid w:val="74A92964"/>
    <w:rsid w:val="74A964C0"/>
    <w:rsid w:val="74A97F50"/>
    <w:rsid w:val="74AC4202"/>
    <w:rsid w:val="74AE7BAB"/>
    <w:rsid w:val="74AF0E87"/>
    <w:rsid w:val="74B11819"/>
    <w:rsid w:val="74B45308"/>
    <w:rsid w:val="74B577D3"/>
    <w:rsid w:val="74B7672A"/>
    <w:rsid w:val="74B92643"/>
    <w:rsid w:val="74BF3F35"/>
    <w:rsid w:val="74C01310"/>
    <w:rsid w:val="74C27582"/>
    <w:rsid w:val="74C476C3"/>
    <w:rsid w:val="74C4779E"/>
    <w:rsid w:val="74C854E1"/>
    <w:rsid w:val="74CB28DA"/>
    <w:rsid w:val="74CD662B"/>
    <w:rsid w:val="74D07EF1"/>
    <w:rsid w:val="74D23DCB"/>
    <w:rsid w:val="74D42BEC"/>
    <w:rsid w:val="74D46E52"/>
    <w:rsid w:val="74DC3790"/>
    <w:rsid w:val="74DD0860"/>
    <w:rsid w:val="74DD3B22"/>
    <w:rsid w:val="74DD7DFE"/>
    <w:rsid w:val="74E029BE"/>
    <w:rsid w:val="74E131DB"/>
    <w:rsid w:val="74E462D7"/>
    <w:rsid w:val="74E71756"/>
    <w:rsid w:val="74E76A89"/>
    <w:rsid w:val="74EE1B48"/>
    <w:rsid w:val="74EE6A11"/>
    <w:rsid w:val="74F11C15"/>
    <w:rsid w:val="74F57957"/>
    <w:rsid w:val="74F57B37"/>
    <w:rsid w:val="74F77405"/>
    <w:rsid w:val="74F82FA3"/>
    <w:rsid w:val="74F91138"/>
    <w:rsid w:val="74FB6BBE"/>
    <w:rsid w:val="74FE575C"/>
    <w:rsid w:val="74FF07D6"/>
    <w:rsid w:val="74FF67F4"/>
    <w:rsid w:val="750001D5"/>
    <w:rsid w:val="750040AD"/>
    <w:rsid w:val="75023F3F"/>
    <w:rsid w:val="75046FA0"/>
    <w:rsid w:val="75096DBE"/>
    <w:rsid w:val="750A25DD"/>
    <w:rsid w:val="750A2CD7"/>
    <w:rsid w:val="750B195F"/>
    <w:rsid w:val="750F3700"/>
    <w:rsid w:val="75105CCF"/>
    <w:rsid w:val="75107C89"/>
    <w:rsid w:val="75114065"/>
    <w:rsid w:val="75117E04"/>
    <w:rsid w:val="751232C4"/>
    <w:rsid w:val="75124F5F"/>
    <w:rsid w:val="75157BFF"/>
    <w:rsid w:val="75183A02"/>
    <w:rsid w:val="751D1D0C"/>
    <w:rsid w:val="75226272"/>
    <w:rsid w:val="75273889"/>
    <w:rsid w:val="752975C2"/>
    <w:rsid w:val="75297601"/>
    <w:rsid w:val="752B15CB"/>
    <w:rsid w:val="7530273D"/>
    <w:rsid w:val="7533759C"/>
    <w:rsid w:val="7534393F"/>
    <w:rsid w:val="75356D59"/>
    <w:rsid w:val="7536647F"/>
    <w:rsid w:val="753A180E"/>
    <w:rsid w:val="753A455B"/>
    <w:rsid w:val="753C7334"/>
    <w:rsid w:val="753E0BC7"/>
    <w:rsid w:val="754029A0"/>
    <w:rsid w:val="75413E58"/>
    <w:rsid w:val="754235E0"/>
    <w:rsid w:val="75436A86"/>
    <w:rsid w:val="75463962"/>
    <w:rsid w:val="75475CD9"/>
    <w:rsid w:val="754922D9"/>
    <w:rsid w:val="754E0166"/>
    <w:rsid w:val="754E52B9"/>
    <w:rsid w:val="754F0FEC"/>
    <w:rsid w:val="75511302"/>
    <w:rsid w:val="75512CD4"/>
    <w:rsid w:val="75523EEF"/>
    <w:rsid w:val="75525E99"/>
    <w:rsid w:val="7555799D"/>
    <w:rsid w:val="75595DB8"/>
    <w:rsid w:val="755A1ADF"/>
    <w:rsid w:val="755A1EB0"/>
    <w:rsid w:val="755A5A0C"/>
    <w:rsid w:val="755D3EA1"/>
    <w:rsid w:val="755E374E"/>
    <w:rsid w:val="75616D9B"/>
    <w:rsid w:val="756248C1"/>
    <w:rsid w:val="75635565"/>
    <w:rsid w:val="7564688B"/>
    <w:rsid w:val="756563DA"/>
    <w:rsid w:val="75684923"/>
    <w:rsid w:val="756B133B"/>
    <w:rsid w:val="756B5417"/>
    <w:rsid w:val="756B5E6B"/>
    <w:rsid w:val="756E5B9D"/>
    <w:rsid w:val="75732004"/>
    <w:rsid w:val="75750D6E"/>
    <w:rsid w:val="757960D5"/>
    <w:rsid w:val="757B3291"/>
    <w:rsid w:val="757D18F0"/>
    <w:rsid w:val="757E2B3B"/>
    <w:rsid w:val="757E794D"/>
    <w:rsid w:val="757F0B28"/>
    <w:rsid w:val="7582426B"/>
    <w:rsid w:val="75840CDB"/>
    <w:rsid w:val="758D5DE2"/>
    <w:rsid w:val="758E3908"/>
    <w:rsid w:val="7590142E"/>
    <w:rsid w:val="759058D2"/>
    <w:rsid w:val="75907126"/>
    <w:rsid w:val="75912894"/>
    <w:rsid w:val="75932CCC"/>
    <w:rsid w:val="75933945"/>
    <w:rsid w:val="759A147D"/>
    <w:rsid w:val="759A7FE0"/>
    <w:rsid w:val="75A35605"/>
    <w:rsid w:val="75A6155C"/>
    <w:rsid w:val="75A67468"/>
    <w:rsid w:val="75A7168F"/>
    <w:rsid w:val="75AB2ED7"/>
    <w:rsid w:val="75AB4CB2"/>
    <w:rsid w:val="75AD7020"/>
    <w:rsid w:val="75AF5D58"/>
    <w:rsid w:val="75B01D9D"/>
    <w:rsid w:val="75B4336E"/>
    <w:rsid w:val="75B47228"/>
    <w:rsid w:val="75B522FD"/>
    <w:rsid w:val="75B82733"/>
    <w:rsid w:val="75B847CB"/>
    <w:rsid w:val="75B901EA"/>
    <w:rsid w:val="75B92F09"/>
    <w:rsid w:val="75B969B5"/>
    <w:rsid w:val="75BA3620"/>
    <w:rsid w:val="75BA46FD"/>
    <w:rsid w:val="75BA64AB"/>
    <w:rsid w:val="75BF1D13"/>
    <w:rsid w:val="75C026C1"/>
    <w:rsid w:val="75C13CDD"/>
    <w:rsid w:val="75C52C9B"/>
    <w:rsid w:val="75C5557C"/>
    <w:rsid w:val="75C67089"/>
    <w:rsid w:val="75C8253F"/>
    <w:rsid w:val="75CA2B92"/>
    <w:rsid w:val="75CC5F4B"/>
    <w:rsid w:val="75D37822"/>
    <w:rsid w:val="75D44E39"/>
    <w:rsid w:val="75D73501"/>
    <w:rsid w:val="75D91027"/>
    <w:rsid w:val="75E023B5"/>
    <w:rsid w:val="75E032E6"/>
    <w:rsid w:val="75E23BFA"/>
    <w:rsid w:val="75E43528"/>
    <w:rsid w:val="75EA3234"/>
    <w:rsid w:val="75EA4FE2"/>
    <w:rsid w:val="75EB0D5A"/>
    <w:rsid w:val="75ED6880"/>
    <w:rsid w:val="75EE5C49"/>
    <w:rsid w:val="75F57812"/>
    <w:rsid w:val="75F746E8"/>
    <w:rsid w:val="75F8024C"/>
    <w:rsid w:val="75F93EF7"/>
    <w:rsid w:val="75FB23E6"/>
    <w:rsid w:val="75FB3D2B"/>
    <w:rsid w:val="75FD2A98"/>
    <w:rsid w:val="75FE0A8D"/>
    <w:rsid w:val="75FE4AE2"/>
    <w:rsid w:val="75FF1322"/>
    <w:rsid w:val="7601057E"/>
    <w:rsid w:val="760116CB"/>
    <w:rsid w:val="76047519"/>
    <w:rsid w:val="76050707"/>
    <w:rsid w:val="760A7DD2"/>
    <w:rsid w:val="760B4638"/>
    <w:rsid w:val="760D2A7F"/>
    <w:rsid w:val="760E011A"/>
    <w:rsid w:val="760F4A49"/>
    <w:rsid w:val="761107C1"/>
    <w:rsid w:val="76114FF2"/>
    <w:rsid w:val="76120095"/>
    <w:rsid w:val="76143E0D"/>
    <w:rsid w:val="76154409"/>
    <w:rsid w:val="76157B85"/>
    <w:rsid w:val="76183A9A"/>
    <w:rsid w:val="761A78A1"/>
    <w:rsid w:val="761B163F"/>
    <w:rsid w:val="761D53B8"/>
    <w:rsid w:val="761E4C8C"/>
    <w:rsid w:val="761E6A3A"/>
    <w:rsid w:val="7625426C"/>
    <w:rsid w:val="76280C44"/>
    <w:rsid w:val="76285DAC"/>
    <w:rsid w:val="762878B8"/>
    <w:rsid w:val="762971F9"/>
    <w:rsid w:val="762B09C2"/>
    <w:rsid w:val="762E1677"/>
    <w:rsid w:val="762F50EB"/>
    <w:rsid w:val="762F6E99"/>
    <w:rsid w:val="763000A3"/>
    <w:rsid w:val="76325379"/>
    <w:rsid w:val="763504D1"/>
    <w:rsid w:val="763C5112"/>
    <w:rsid w:val="763D388D"/>
    <w:rsid w:val="763E1908"/>
    <w:rsid w:val="763F4186"/>
    <w:rsid w:val="7645438A"/>
    <w:rsid w:val="764861AD"/>
    <w:rsid w:val="764C6CAB"/>
    <w:rsid w:val="765153DC"/>
    <w:rsid w:val="765377F4"/>
    <w:rsid w:val="76574DC9"/>
    <w:rsid w:val="765A0B49"/>
    <w:rsid w:val="765A493B"/>
    <w:rsid w:val="765B5EE0"/>
    <w:rsid w:val="765E777E"/>
    <w:rsid w:val="766052A4"/>
    <w:rsid w:val="76627C7F"/>
    <w:rsid w:val="76670956"/>
    <w:rsid w:val="766A1AD2"/>
    <w:rsid w:val="766B73DC"/>
    <w:rsid w:val="766C5613"/>
    <w:rsid w:val="766D1FAF"/>
    <w:rsid w:val="7671125F"/>
    <w:rsid w:val="7673622B"/>
    <w:rsid w:val="7673690B"/>
    <w:rsid w:val="76771C87"/>
    <w:rsid w:val="7677439C"/>
    <w:rsid w:val="767943D6"/>
    <w:rsid w:val="767B2AAF"/>
    <w:rsid w:val="768076F4"/>
    <w:rsid w:val="76813467"/>
    <w:rsid w:val="7682346D"/>
    <w:rsid w:val="7684274B"/>
    <w:rsid w:val="768C4D4F"/>
    <w:rsid w:val="768F1CB1"/>
    <w:rsid w:val="76900989"/>
    <w:rsid w:val="76912D1D"/>
    <w:rsid w:val="7692760E"/>
    <w:rsid w:val="769413F2"/>
    <w:rsid w:val="76966AB0"/>
    <w:rsid w:val="769709D0"/>
    <w:rsid w:val="76A06C7B"/>
    <w:rsid w:val="76A07D97"/>
    <w:rsid w:val="76A333E3"/>
    <w:rsid w:val="76A74AB5"/>
    <w:rsid w:val="76A80B95"/>
    <w:rsid w:val="76AE24B4"/>
    <w:rsid w:val="76AF1AA2"/>
    <w:rsid w:val="76AF3B36"/>
    <w:rsid w:val="76B007C7"/>
    <w:rsid w:val="76B22483"/>
    <w:rsid w:val="76B35569"/>
    <w:rsid w:val="76B92C06"/>
    <w:rsid w:val="76B958E1"/>
    <w:rsid w:val="76BA5C29"/>
    <w:rsid w:val="76BB24DB"/>
    <w:rsid w:val="76BE1FCB"/>
    <w:rsid w:val="76C021E7"/>
    <w:rsid w:val="76C13C0E"/>
    <w:rsid w:val="76C23231"/>
    <w:rsid w:val="76C4632F"/>
    <w:rsid w:val="76C5573E"/>
    <w:rsid w:val="76C60953"/>
    <w:rsid w:val="76C66C90"/>
    <w:rsid w:val="76C904FA"/>
    <w:rsid w:val="76CB562A"/>
    <w:rsid w:val="76CD04E1"/>
    <w:rsid w:val="76CF1B02"/>
    <w:rsid w:val="76CF41D8"/>
    <w:rsid w:val="76D50943"/>
    <w:rsid w:val="76D65566"/>
    <w:rsid w:val="76D6701A"/>
    <w:rsid w:val="76D84E6A"/>
    <w:rsid w:val="76D96E05"/>
    <w:rsid w:val="76DA5057"/>
    <w:rsid w:val="76DF4903"/>
    <w:rsid w:val="76E01DEE"/>
    <w:rsid w:val="76E35B42"/>
    <w:rsid w:val="76E364CA"/>
    <w:rsid w:val="76E557A9"/>
    <w:rsid w:val="76E55DE4"/>
    <w:rsid w:val="76EA7DF0"/>
    <w:rsid w:val="76EB7264"/>
    <w:rsid w:val="76EC08E6"/>
    <w:rsid w:val="76ED6720"/>
    <w:rsid w:val="76F0487A"/>
    <w:rsid w:val="76F1414E"/>
    <w:rsid w:val="76F53C3E"/>
    <w:rsid w:val="76F75E74"/>
    <w:rsid w:val="76FB48E4"/>
    <w:rsid w:val="76FB6D7B"/>
    <w:rsid w:val="770245AD"/>
    <w:rsid w:val="770438DB"/>
    <w:rsid w:val="770A2BDB"/>
    <w:rsid w:val="770A499D"/>
    <w:rsid w:val="770B4988"/>
    <w:rsid w:val="771104BC"/>
    <w:rsid w:val="77174086"/>
    <w:rsid w:val="77180A74"/>
    <w:rsid w:val="77181EC3"/>
    <w:rsid w:val="77187E5F"/>
    <w:rsid w:val="7719744D"/>
    <w:rsid w:val="77225C3F"/>
    <w:rsid w:val="77231C68"/>
    <w:rsid w:val="7724325F"/>
    <w:rsid w:val="77254525"/>
    <w:rsid w:val="77256004"/>
    <w:rsid w:val="77260749"/>
    <w:rsid w:val="772F7863"/>
    <w:rsid w:val="773329B9"/>
    <w:rsid w:val="77363A37"/>
    <w:rsid w:val="77387FCF"/>
    <w:rsid w:val="773B361B"/>
    <w:rsid w:val="773C7ABF"/>
    <w:rsid w:val="773D3292"/>
    <w:rsid w:val="773F4272"/>
    <w:rsid w:val="773F5C02"/>
    <w:rsid w:val="77411AC1"/>
    <w:rsid w:val="77446974"/>
    <w:rsid w:val="77466B13"/>
    <w:rsid w:val="774B221E"/>
    <w:rsid w:val="774D3A7A"/>
    <w:rsid w:val="774F69AE"/>
    <w:rsid w:val="77524868"/>
    <w:rsid w:val="77536BB7"/>
    <w:rsid w:val="77542C46"/>
    <w:rsid w:val="77560C1B"/>
    <w:rsid w:val="775C4D73"/>
    <w:rsid w:val="775D66D8"/>
    <w:rsid w:val="775F78B2"/>
    <w:rsid w:val="776002BC"/>
    <w:rsid w:val="7762038F"/>
    <w:rsid w:val="7763329E"/>
    <w:rsid w:val="77672662"/>
    <w:rsid w:val="77673BCF"/>
    <w:rsid w:val="77707769"/>
    <w:rsid w:val="7773040F"/>
    <w:rsid w:val="77737768"/>
    <w:rsid w:val="77764653"/>
    <w:rsid w:val="77775308"/>
    <w:rsid w:val="777803CC"/>
    <w:rsid w:val="777A05E8"/>
    <w:rsid w:val="777C4360"/>
    <w:rsid w:val="77894B47"/>
    <w:rsid w:val="778B1DFE"/>
    <w:rsid w:val="778E33FA"/>
    <w:rsid w:val="778E5E41"/>
    <w:rsid w:val="77903967"/>
    <w:rsid w:val="7791528F"/>
    <w:rsid w:val="77931050"/>
    <w:rsid w:val="77955421"/>
    <w:rsid w:val="77991C4E"/>
    <w:rsid w:val="779D14EF"/>
    <w:rsid w:val="77A02D5A"/>
    <w:rsid w:val="77A2359E"/>
    <w:rsid w:val="77A41A46"/>
    <w:rsid w:val="77A613DD"/>
    <w:rsid w:val="77A6199B"/>
    <w:rsid w:val="77A6318B"/>
    <w:rsid w:val="77AC6124"/>
    <w:rsid w:val="77AE38A3"/>
    <w:rsid w:val="77B02AAB"/>
    <w:rsid w:val="77B04009"/>
    <w:rsid w:val="77B77B0D"/>
    <w:rsid w:val="77B92EBE"/>
    <w:rsid w:val="77BA4859"/>
    <w:rsid w:val="77BC475C"/>
    <w:rsid w:val="77BC72BF"/>
    <w:rsid w:val="77BF40CA"/>
    <w:rsid w:val="77BF52CC"/>
    <w:rsid w:val="77C02ABA"/>
    <w:rsid w:val="77C054E3"/>
    <w:rsid w:val="77C07B11"/>
    <w:rsid w:val="77C11D73"/>
    <w:rsid w:val="77C14C8A"/>
    <w:rsid w:val="77C17FC5"/>
    <w:rsid w:val="77C503EF"/>
    <w:rsid w:val="77C55C3A"/>
    <w:rsid w:val="77C561E6"/>
    <w:rsid w:val="77C6382D"/>
    <w:rsid w:val="77C74F57"/>
    <w:rsid w:val="77CD0717"/>
    <w:rsid w:val="77CE3D4C"/>
    <w:rsid w:val="77D4322C"/>
    <w:rsid w:val="77D71596"/>
    <w:rsid w:val="77D9291E"/>
    <w:rsid w:val="77DA2E34"/>
    <w:rsid w:val="77E23F4F"/>
    <w:rsid w:val="77E26D03"/>
    <w:rsid w:val="77E3618D"/>
    <w:rsid w:val="77E5753D"/>
    <w:rsid w:val="77E63452"/>
    <w:rsid w:val="77E723F3"/>
    <w:rsid w:val="77EB5041"/>
    <w:rsid w:val="77ED0DBA"/>
    <w:rsid w:val="77ED2DC9"/>
    <w:rsid w:val="77EE068E"/>
    <w:rsid w:val="77EF5D39"/>
    <w:rsid w:val="77F04406"/>
    <w:rsid w:val="77F24622"/>
    <w:rsid w:val="77F374B5"/>
    <w:rsid w:val="77F43418"/>
    <w:rsid w:val="77F46652"/>
    <w:rsid w:val="77F76B70"/>
    <w:rsid w:val="77FA107B"/>
    <w:rsid w:val="77FA5285"/>
    <w:rsid w:val="77FB434F"/>
    <w:rsid w:val="77FC2DAB"/>
    <w:rsid w:val="77FF270A"/>
    <w:rsid w:val="780008DB"/>
    <w:rsid w:val="78011BC0"/>
    <w:rsid w:val="780243A4"/>
    <w:rsid w:val="7806292B"/>
    <w:rsid w:val="78063C29"/>
    <w:rsid w:val="78070808"/>
    <w:rsid w:val="7808292C"/>
    <w:rsid w:val="780879A1"/>
    <w:rsid w:val="780A196C"/>
    <w:rsid w:val="780A60E5"/>
    <w:rsid w:val="780D06ED"/>
    <w:rsid w:val="780E4FB6"/>
    <w:rsid w:val="78120820"/>
    <w:rsid w:val="78140DB2"/>
    <w:rsid w:val="78196E30"/>
    <w:rsid w:val="78197CD6"/>
    <w:rsid w:val="781A02CD"/>
    <w:rsid w:val="781A1483"/>
    <w:rsid w:val="781A2D32"/>
    <w:rsid w:val="781A766B"/>
    <w:rsid w:val="78200E66"/>
    <w:rsid w:val="7820693B"/>
    <w:rsid w:val="7829791D"/>
    <w:rsid w:val="782B3690"/>
    <w:rsid w:val="782B6988"/>
    <w:rsid w:val="782E06CB"/>
    <w:rsid w:val="782F3C70"/>
    <w:rsid w:val="78316976"/>
    <w:rsid w:val="78345510"/>
    <w:rsid w:val="783549D2"/>
    <w:rsid w:val="783863BB"/>
    <w:rsid w:val="783A2C9A"/>
    <w:rsid w:val="783B1C96"/>
    <w:rsid w:val="783D4AA4"/>
    <w:rsid w:val="78454752"/>
    <w:rsid w:val="78462278"/>
    <w:rsid w:val="78485FF0"/>
    <w:rsid w:val="784972CD"/>
    <w:rsid w:val="784A380B"/>
    <w:rsid w:val="784A620C"/>
    <w:rsid w:val="784C2098"/>
    <w:rsid w:val="784D6ECA"/>
    <w:rsid w:val="7855070D"/>
    <w:rsid w:val="78576568"/>
    <w:rsid w:val="785C07C0"/>
    <w:rsid w:val="78604412"/>
    <w:rsid w:val="78620580"/>
    <w:rsid w:val="786372CE"/>
    <w:rsid w:val="786537A5"/>
    <w:rsid w:val="78670B6C"/>
    <w:rsid w:val="786B1CDE"/>
    <w:rsid w:val="786C1F15"/>
    <w:rsid w:val="78701E77"/>
    <w:rsid w:val="78742A49"/>
    <w:rsid w:val="78746DE5"/>
    <w:rsid w:val="78755A34"/>
    <w:rsid w:val="78780BAA"/>
    <w:rsid w:val="78796CE2"/>
    <w:rsid w:val="787A6285"/>
    <w:rsid w:val="787D181A"/>
    <w:rsid w:val="787E1A12"/>
    <w:rsid w:val="78811502"/>
    <w:rsid w:val="78864F46"/>
    <w:rsid w:val="7889678D"/>
    <w:rsid w:val="788A2AAC"/>
    <w:rsid w:val="788D72A3"/>
    <w:rsid w:val="788E7BAF"/>
    <w:rsid w:val="788F00B3"/>
    <w:rsid w:val="789575D8"/>
    <w:rsid w:val="78984342"/>
    <w:rsid w:val="789C690B"/>
    <w:rsid w:val="78A03E20"/>
    <w:rsid w:val="78A41A9F"/>
    <w:rsid w:val="78A5339F"/>
    <w:rsid w:val="78A627CF"/>
    <w:rsid w:val="78A82F32"/>
    <w:rsid w:val="78AA0698"/>
    <w:rsid w:val="78AA3BFB"/>
    <w:rsid w:val="78AC38A2"/>
    <w:rsid w:val="78AE5198"/>
    <w:rsid w:val="78B44176"/>
    <w:rsid w:val="78B6167E"/>
    <w:rsid w:val="78B820FC"/>
    <w:rsid w:val="78B9563E"/>
    <w:rsid w:val="78BB7F5A"/>
    <w:rsid w:val="78BC0460"/>
    <w:rsid w:val="78C66BA4"/>
    <w:rsid w:val="78C75C05"/>
    <w:rsid w:val="78C95383"/>
    <w:rsid w:val="78CB2710"/>
    <w:rsid w:val="78CF226D"/>
    <w:rsid w:val="78CF2423"/>
    <w:rsid w:val="78CF4963"/>
    <w:rsid w:val="78D05823"/>
    <w:rsid w:val="78D12489"/>
    <w:rsid w:val="78D16ACE"/>
    <w:rsid w:val="78D83F38"/>
    <w:rsid w:val="78DA2670"/>
    <w:rsid w:val="78DB6E64"/>
    <w:rsid w:val="78DC7175"/>
    <w:rsid w:val="78DD0E2E"/>
    <w:rsid w:val="78DD4EB2"/>
    <w:rsid w:val="78DE084A"/>
    <w:rsid w:val="78DE4414"/>
    <w:rsid w:val="78DE5373"/>
    <w:rsid w:val="78E026CC"/>
    <w:rsid w:val="78E51A91"/>
    <w:rsid w:val="78E51B7A"/>
    <w:rsid w:val="78E54833"/>
    <w:rsid w:val="78E65785"/>
    <w:rsid w:val="78E977D3"/>
    <w:rsid w:val="78EA12ED"/>
    <w:rsid w:val="78EC0AA1"/>
    <w:rsid w:val="78ED1B9A"/>
    <w:rsid w:val="78EE303B"/>
    <w:rsid w:val="78F170E3"/>
    <w:rsid w:val="78F735A3"/>
    <w:rsid w:val="78F81FE6"/>
    <w:rsid w:val="78F9378E"/>
    <w:rsid w:val="78F9553C"/>
    <w:rsid w:val="78FA198E"/>
    <w:rsid w:val="78FB5758"/>
    <w:rsid w:val="78FB594B"/>
    <w:rsid w:val="78FB6795"/>
    <w:rsid w:val="78FD327E"/>
    <w:rsid w:val="7904460D"/>
    <w:rsid w:val="790939D1"/>
    <w:rsid w:val="790A7749"/>
    <w:rsid w:val="790E548B"/>
    <w:rsid w:val="79113259"/>
    <w:rsid w:val="79193DE5"/>
    <w:rsid w:val="7919798C"/>
    <w:rsid w:val="791A1374"/>
    <w:rsid w:val="791B3704"/>
    <w:rsid w:val="791B4830"/>
    <w:rsid w:val="791E5F59"/>
    <w:rsid w:val="791F1195"/>
    <w:rsid w:val="791F1400"/>
    <w:rsid w:val="79222CE5"/>
    <w:rsid w:val="79226841"/>
    <w:rsid w:val="79244A53"/>
    <w:rsid w:val="792627D5"/>
    <w:rsid w:val="79274472"/>
    <w:rsid w:val="7927654D"/>
    <w:rsid w:val="7928313C"/>
    <w:rsid w:val="792964A9"/>
    <w:rsid w:val="792B4A96"/>
    <w:rsid w:val="792C3B64"/>
    <w:rsid w:val="792D0455"/>
    <w:rsid w:val="792D3904"/>
    <w:rsid w:val="793305A5"/>
    <w:rsid w:val="79333BCB"/>
    <w:rsid w:val="79334EF2"/>
    <w:rsid w:val="79335490"/>
    <w:rsid w:val="79336CA0"/>
    <w:rsid w:val="79347E8A"/>
    <w:rsid w:val="79367D19"/>
    <w:rsid w:val="793A002E"/>
    <w:rsid w:val="793B3DA7"/>
    <w:rsid w:val="793E659C"/>
    <w:rsid w:val="794B3FEA"/>
    <w:rsid w:val="794C3110"/>
    <w:rsid w:val="794F33AE"/>
    <w:rsid w:val="79506C25"/>
    <w:rsid w:val="7951507D"/>
    <w:rsid w:val="79515378"/>
    <w:rsid w:val="79517126"/>
    <w:rsid w:val="7953335A"/>
    <w:rsid w:val="79537CB9"/>
    <w:rsid w:val="79590149"/>
    <w:rsid w:val="795A5FDB"/>
    <w:rsid w:val="795D1A6E"/>
    <w:rsid w:val="795E33E2"/>
    <w:rsid w:val="796055BB"/>
    <w:rsid w:val="7961380D"/>
    <w:rsid w:val="796216B8"/>
    <w:rsid w:val="79623C0C"/>
    <w:rsid w:val="79656F5C"/>
    <w:rsid w:val="79663F7F"/>
    <w:rsid w:val="7967694A"/>
    <w:rsid w:val="796D39A7"/>
    <w:rsid w:val="796F4C15"/>
    <w:rsid w:val="79701CA2"/>
    <w:rsid w:val="79766B8D"/>
    <w:rsid w:val="79786DA9"/>
    <w:rsid w:val="797936DB"/>
    <w:rsid w:val="797A042B"/>
    <w:rsid w:val="797A667D"/>
    <w:rsid w:val="797B531E"/>
    <w:rsid w:val="797C766F"/>
    <w:rsid w:val="797D0891"/>
    <w:rsid w:val="797E10C3"/>
    <w:rsid w:val="797F0137"/>
    <w:rsid w:val="79807A18"/>
    <w:rsid w:val="79834563"/>
    <w:rsid w:val="79840C53"/>
    <w:rsid w:val="79875C25"/>
    <w:rsid w:val="7989636A"/>
    <w:rsid w:val="798D1385"/>
    <w:rsid w:val="799223C1"/>
    <w:rsid w:val="79927081"/>
    <w:rsid w:val="79951709"/>
    <w:rsid w:val="799B434A"/>
    <w:rsid w:val="799C4E69"/>
    <w:rsid w:val="799C6D71"/>
    <w:rsid w:val="799D05BD"/>
    <w:rsid w:val="799D30EE"/>
    <w:rsid w:val="79A01F4B"/>
    <w:rsid w:val="79A8143C"/>
    <w:rsid w:val="79AA2BAF"/>
    <w:rsid w:val="79AC2107"/>
    <w:rsid w:val="79AC25AE"/>
    <w:rsid w:val="79AE3658"/>
    <w:rsid w:val="79AF54C8"/>
    <w:rsid w:val="79B002F1"/>
    <w:rsid w:val="79B051F8"/>
    <w:rsid w:val="79B10899"/>
    <w:rsid w:val="79B146F1"/>
    <w:rsid w:val="79B41282"/>
    <w:rsid w:val="79B83C2C"/>
    <w:rsid w:val="79BD2A0E"/>
    <w:rsid w:val="79BD6A5B"/>
    <w:rsid w:val="79BE3158"/>
    <w:rsid w:val="79C16393"/>
    <w:rsid w:val="79C45B4A"/>
    <w:rsid w:val="79C478F8"/>
    <w:rsid w:val="79C5389A"/>
    <w:rsid w:val="79CB0C87"/>
    <w:rsid w:val="79CB512B"/>
    <w:rsid w:val="79CB6ED9"/>
    <w:rsid w:val="79CE0F28"/>
    <w:rsid w:val="79D00993"/>
    <w:rsid w:val="79D43FC4"/>
    <w:rsid w:val="79D45E24"/>
    <w:rsid w:val="79D46DFA"/>
    <w:rsid w:val="79DA38A9"/>
    <w:rsid w:val="79DB7B85"/>
    <w:rsid w:val="79DC59AD"/>
    <w:rsid w:val="79DE4E5E"/>
    <w:rsid w:val="79DF0DBB"/>
    <w:rsid w:val="79DF2D20"/>
    <w:rsid w:val="79E14A53"/>
    <w:rsid w:val="79E166FC"/>
    <w:rsid w:val="79E24222"/>
    <w:rsid w:val="79E41D48"/>
    <w:rsid w:val="79E6113B"/>
    <w:rsid w:val="79E86034"/>
    <w:rsid w:val="79EE1860"/>
    <w:rsid w:val="79F36207"/>
    <w:rsid w:val="79F44681"/>
    <w:rsid w:val="79F503F9"/>
    <w:rsid w:val="79F6548E"/>
    <w:rsid w:val="79F65514"/>
    <w:rsid w:val="79F67795"/>
    <w:rsid w:val="79F83993"/>
    <w:rsid w:val="79FC1788"/>
    <w:rsid w:val="79FD55A8"/>
    <w:rsid w:val="79FE6C11"/>
    <w:rsid w:val="7A021CF8"/>
    <w:rsid w:val="7A07636D"/>
    <w:rsid w:val="7A077839"/>
    <w:rsid w:val="7A0A5C53"/>
    <w:rsid w:val="7A0D044D"/>
    <w:rsid w:val="7A0D399C"/>
    <w:rsid w:val="7A0F382E"/>
    <w:rsid w:val="7A0F59D5"/>
    <w:rsid w:val="7A102859"/>
    <w:rsid w:val="7A13262E"/>
    <w:rsid w:val="7A1703DE"/>
    <w:rsid w:val="7A18539C"/>
    <w:rsid w:val="7A1940E8"/>
    <w:rsid w:val="7A2024A5"/>
    <w:rsid w:val="7A22207C"/>
    <w:rsid w:val="7A265A05"/>
    <w:rsid w:val="7A28257D"/>
    <w:rsid w:val="7A293BFF"/>
    <w:rsid w:val="7A2A00A3"/>
    <w:rsid w:val="7A2B3E1B"/>
    <w:rsid w:val="7A2B7977"/>
    <w:rsid w:val="7A2C4FCD"/>
    <w:rsid w:val="7A2D7B93"/>
    <w:rsid w:val="7A2E1215"/>
    <w:rsid w:val="7A331727"/>
    <w:rsid w:val="7A37631C"/>
    <w:rsid w:val="7A390C79"/>
    <w:rsid w:val="7A392049"/>
    <w:rsid w:val="7A393F3F"/>
    <w:rsid w:val="7A3A5E0C"/>
    <w:rsid w:val="7A3D6389"/>
    <w:rsid w:val="7A3E76AA"/>
    <w:rsid w:val="7A415C37"/>
    <w:rsid w:val="7A431165"/>
    <w:rsid w:val="7A470BC9"/>
    <w:rsid w:val="7A48316D"/>
    <w:rsid w:val="7A4B0019"/>
    <w:rsid w:val="7A4B2895"/>
    <w:rsid w:val="7A4F5DB7"/>
    <w:rsid w:val="7A505630"/>
    <w:rsid w:val="7A525A7B"/>
    <w:rsid w:val="7A5275FA"/>
    <w:rsid w:val="7A5760AD"/>
    <w:rsid w:val="7A5D6C3F"/>
    <w:rsid w:val="7A5F79CB"/>
    <w:rsid w:val="7A613399"/>
    <w:rsid w:val="7A6231B4"/>
    <w:rsid w:val="7A63452C"/>
    <w:rsid w:val="7A645A0C"/>
    <w:rsid w:val="7A647517"/>
    <w:rsid w:val="7A6730A5"/>
    <w:rsid w:val="7A680BCB"/>
    <w:rsid w:val="7A684727"/>
    <w:rsid w:val="7A70182E"/>
    <w:rsid w:val="7A711D90"/>
    <w:rsid w:val="7A7869B0"/>
    <w:rsid w:val="7A7A445B"/>
    <w:rsid w:val="7A7C01D3"/>
    <w:rsid w:val="7A826133"/>
    <w:rsid w:val="7A841E1D"/>
    <w:rsid w:val="7A843672"/>
    <w:rsid w:val="7A85161C"/>
    <w:rsid w:val="7A85352B"/>
    <w:rsid w:val="7A861051"/>
    <w:rsid w:val="7A8918A9"/>
    <w:rsid w:val="7A8B6668"/>
    <w:rsid w:val="7A8C5006"/>
    <w:rsid w:val="7A8D2E7D"/>
    <w:rsid w:val="7A90227D"/>
    <w:rsid w:val="7A9030A3"/>
    <w:rsid w:val="7A903C7E"/>
    <w:rsid w:val="7A936F8D"/>
    <w:rsid w:val="7A9419C0"/>
    <w:rsid w:val="7A957BD3"/>
    <w:rsid w:val="7A96084E"/>
    <w:rsid w:val="7A965738"/>
    <w:rsid w:val="7A990D85"/>
    <w:rsid w:val="7A996FD7"/>
    <w:rsid w:val="7A9B002B"/>
    <w:rsid w:val="7A9E283F"/>
    <w:rsid w:val="7AA02113"/>
    <w:rsid w:val="7AAA4D40"/>
    <w:rsid w:val="7AAB046A"/>
    <w:rsid w:val="7AAC1802"/>
    <w:rsid w:val="7AAD7A99"/>
    <w:rsid w:val="7AAE1697"/>
    <w:rsid w:val="7AB160CE"/>
    <w:rsid w:val="7AB175E3"/>
    <w:rsid w:val="7AB60927"/>
    <w:rsid w:val="7AB85508"/>
    <w:rsid w:val="7AB91427"/>
    <w:rsid w:val="7AB94F83"/>
    <w:rsid w:val="7ABB0CFB"/>
    <w:rsid w:val="7ABE4C8F"/>
    <w:rsid w:val="7AC104D2"/>
    <w:rsid w:val="7AC2422A"/>
    <w:rsid w:val="7AC37FB0"/>
    <w:rsid w:val="7AC402E2"/>
    <w:rsid w:val="7AC540CB"/>
    <w:rsid w:val="7AC60BC7"/>
    <w:rsid w:val="7AC758F2"/>
    <w:rsid w:val="7ACA3634"/>
    <w:rsid w:val="7ACC5B31"/>
    <w:rsid w:val="7ACF372E"/>
    <w:rsid w:val="7AD07CBE"/>
    <w:rsid w:val="7AD1051F"/>
    <w:rsid w:val="7AD26045"/>
    <w:rsid w:val="7AD324E9"/>
    <w:rsid w:val="7AD46261"/>
    <w:rsid w:val="7AD63D87"/>
    <w:rsid w:val="7AD7365B"/>
    <w:rsid w:val="7AD76367"/>
    <w:rsid w:val="7ADA02AE"/>
    <w:rsid w:val="7ADB139D"/>
    <w:rsid w:val="7ADB3A92"/>
    <w:rsid w:val="7AE2097E"/>
    <w:rsid w:val="7AE2100F"/>
    <w:rsid w:val="7AE23E7B"/>
    <w:rsid w:val="7AE5221C"/>
    <w:rsid w:val="7AE53FCA"/>
    <w:rsid w:val="7AE820D0"/>
    <w:rsid w:val="7AEF4E49"/>
    <w:rsid w:val="7AF141AE"/>
    <w:rsid w:val="7AF34AD9"/>
    <w:rsid w:val="7AF474F3"/>
    <w:rsid w:val="7AF75AAB"/>
    <w:rsid w:val="7AF831CF"/>
    <w:rsid w:val="7AF83CFD"/>
    <w:rsid w:val="7AFA7812"/>
    <w:rsid w:val="7AFC64E3"/>
    <w:rsid w:val="7B0140AF"/>
    <w:rsid w:val="7B02593D"/>
    <w:rsid w:val="7B02692A"/>
    <w:rsid w:val="7B036FEB"/>
    <w:rsid w:val="7B06174A"/>
    <w:rsid w:val="7B08583B"/>
    <w:rsid w:val="7B09415C"/>
    <w:rsid w:val="7B0C59FB"/>
    <w:rsid w:val="7B0D52CF"/>
    <w:rsid w:val="7B0E3FB2"/>
    <w:rsid w:val="7B115904"/>
    <w:rsid w:val="7B1A336C"/>
    <w:rsid w:val="7B1E72B1"/>
    <w:rsid w:val="7B1F45CA"/>
    <w:rsid w:val="7B234AF2"/>
    <w:rsid w:val="7B241D43"/>
    <w:rsid w:val="7B2765BB"/>
    <w:rsid w:val="7B2C4C08"/>
    <w:rsid w:val="7B310FBD"/>
    <w:rsid w:val="7B3137A6"/>
    <w:rsid w:val="7B340AAD"/>
    <w:rsid w:val="7B36641E"/>
    <w:rsid w:val="7B37524B"/>
    <w:rsid w:val="7B3E6673"/>
    <w:rsid w:val="7B3F072E"/>
    <w:rsid w:val="7B3F0EB9"/>
    <w:rsid w:val="7B3F192C"/>
    <w:rsid w:val="7B474C85"/>
    <w:rsid w:val="7B486A9C"/>
    <w:rsid w:val="7B492224"/>
    <w:rsid w:val="7B4A6771"/>
    <w:rsid w:val="7B4F2484"/>
    <w:rsid w:val="7B526E07"/>
    <w:rsid w:val="7B560A24"/>
    <w:rsid w:val="7B595EA6"/>
    <w:rsid w:val="7B5A3CBB"/>
    <w:rsid w:val="7B5A49B8"/>
    <w:rsid w:val="7B5E2458"/>
    <w:rsid w:val="7B5F1FCE"/>
    <w:rsid w:val="7B641062"/>
    <w:rsid w:val="7B6929EE"/>
    <w:rsid w:val="7B694BFB"/>
    <w:rsid w:val="7B6E54E8"/>
    <w:rsid w:val="7B6E6281"/>
    <w:rsid w:val="7B715048"/>
    <w:rsid w:val="7B7168D5"/>
    <w:rsid w:val="7B7408BD"/>
    <w:rsid w:val="7B786C6C"/>
    <w:rsid w:val="7B8207D9"/>
    <w:rsid w:val="7B844328"/>
    <w:rsid w:val="7B844D3E"/>
    <w:rsid w:val="7B86001F"/>
    <w:rsid w:val="7B8732D3"/>
    <w:rsid w:val="7B8801EC"/>
    <w:rsid w:val="7B884D08"/>
    <w:rsid w:val="7B8A4081"/>
    <w:rsid w:val="7B8C2A66"/>
    <w:rsid w:val="7B8C6B3B"/>
    <w:rsid w:val="7B8D1E5B"/>
    <w:rsid w:val="7B8E76C7"/>
    <w:rsid w:val="7B911884"/>
    <w:rsid w:val="7B9652C4"/>
    <w:rsid w:val="7B9E4633"/>
    <w:rsid w:val="7B9F686F"/>
    <w:rsid w:val="7BA07950"/>
    <w:rsid w:val="7BA07EF1"/>
    <w:rsid w:val="7BA17F60"/>
    <w:rsid w:val="7BA2010D"/>
    <w:rsid w:val="7BA54257"/>
    <w:rsid w:val="7BA56056"/>
    <w:rsid w:val="7BAB0D70"/>
    <w:rsid w:val="7BAB6FC2"/>
    <w:rsid w:val="7BAC5B2B"/>
    <w:rsid w:val="7BB25E1A"/>
    <w:rsid w:val="7BB30D54"/>
    <w:rsid w:val="7BB37C24"/>
    <w:rsid w:val="7BB50B17"/>
    <w:rsid w:val="7BB51BEE"/>
    <w:rsid w:val="7BB61959"/>
    <w:rsid w:val="7BB85AD7"/>
    <w:rsid w:val="7BBC2F7D"/>
    <w:rsid w:val="7BC260B9"/>
    <w:rsid w:val="7BC462D5"/>
    <w:rsid w:val="7BC736D0"/>
    <w:rsid w:val="7BC77785"/>
    <w:rsid w:val="7BC96AD0"/>
    <w:rsid w:val="7BCB76C6"/>
    <w:rsid w:val="7BCD4D2C"/>
    <w:rsid w:val="7BCE121E"/>
    <w:rsid w:val="7BD5637D"/>
    <w:rsid w:val="7BD61B65"/>
    <w:rsid w:val="7BDA4D52"/>
    <w:rsid w:val="7BDD464A"/>
    <w:rsid w:val="7BDE1F05"/>
    <w:rsid w:val="7BE14791"/>
    <w:rsid w:val="7BE14B26"/>
    <w:rsid w:val="7BE31394"/>
    <w:rsid w:val="7BE34019"/>
    <w:rsid w:val="7BE407EE"/>
    <w:rsid w:val="7BE53252"/>
    <w:rsid w:val="7BE6512A"/>
    <w:rsid w:val="7BE95D3C"/>
    <w:rsid w:val="7BEC3136"/>
    <w:rsid w:val="7BEC41E6"/>
    <w:rsid w:val="7BEF3B60"/>
    <w:rsid w:val="7BF1074D"/>
    <w:rsid w:val="7BF32C57"/>
    <w:rsid w:val="7BF85F7F"/>
    <w:rsid w:val="7BFF10BB"/>
    <w:rsid w:val="7C03744F"/>
    <w:rsid w:val="7C043085"/>
    <w:rsid w:val="7C047A98"/>
    <w:rsid w:val="7C06069C"/>
    <w:rsid w:val="7C06244A"/>
    <w:rsid w:val="7C084414"/>
    <w:rsid w:val="7C0A237E"/>
    <w:rsid w:val="7C0A2578"/>
    <w:rsid w:val="7C0B180E"/>
    <w:rsid w:val="7C0C2D32"/>
    <w:rsid w:val="7C0E12FE"/>
    <w:rsid w:val="7C127041"/>
    <w:rsid w:val="7C134B67"/>
    <w:rsid w:val="7C156B31"/>
    <w:rsid w:val="7C1637AD"/>
    <w:rsid w:val="7C166C84"/>
    <w:rsid w:val="7C166CFC"/>
    <w:rsid w:val="7C167FB2"/>
    <w:rsid w:val="7C1C7EBF"/>
    <w:rsid w:val="7C1E4A4A"/>
    <w:rsid w:val="7C1F6EB9"/>
    <w:rsid w:val="7C232FFC"/>
    <w:rsid w:val="7C2742C5"/>
    <w:rsid w:val="7C275DB7"/>
    <w:rsid w:val="7C2C595B"/>
    <w:rsid w:val="7C2E2C7D"/>
    <w:rsid w:val="7C354ADD"/>
    <w:rsid w:val="7C3743CF"/>
    <w:rsid w:val="7C38637B"/>
    <w:rsid w:val="7C3A20F4"/>
    <w:rsid w:val="7C4012AD"/>
    <w:rsid w:val="7C444D20"/>
    <w:rsid w:val="7C460A98"/>
    <w:rsid w:val="7C4A252D"/>
    <w:rsid w:val="7C4B7CC8"/>
    <w:rsid w:val="7C4C370C"/>
    <w:rsid w:val="7C4D0079"/>
    <w:rsid w:val="7C4D62CB"/>
    <w:rsid w:val="7C4F2043"/>
    <w:rsid w:val="7C504847"/>
    <w:rsid w:val="7C507B69"/>
    <w:rsid w:val="7C5238E1"/>
    <w:rsid w:val="7C5331B5"/>
    <w:rsid w:val="7C5B09E8"/>
    <w:rsid w:val="7C5C023C"/>
    <w:rsid w:val="7C5F1155"/>
    <w:rsid w:val="7C603D07"/>
    <w:rsid w:val="7C634B1A"/>
    <w:rsid w:val="7C683105"/>
    <w:rsid w:val="7C691FF6"/>
    <w:rsid w:val="7C6929D9"/>
    <w:rsid w:val="7C6A7676"/>
    <w:rsid w:val="7C6B2E9D"/>
    <w:rsid w:val="7C6B6751"/>
    <w:rsid w:val="7C6D5616"/>
    <w:rsid w:val="7C6F41B6"/>
    <w:rsid w:val="7C6F7FEF"/>
    <w:rsid w:val="7C71234B"/>
    <w:rsid w:val="7C767B5B"/>
    <w:rsid w:val="7C78088B"/>
    <w:rsid w:val="7C790E6E"/>
    <w:rsid w:val="7C792010"/>
    <w:rsid w:val="7C7A2AFE"/>
    <w:rsid w:val="7C7A2FE8"/>
    <w:rsid w:val="7C7A6994"/>
    <w:rsid w:val="7C7A6F8A"/>
    <w:rsid w:val="7C7B6A55"/>
    <w:rsid w:val="7C7C44BA"/>
    <w:rsid w:val="7C7C4682"/>
    <w:rsid w:val="7C7E1E7D"/>
    <w:rsid w:val="7C7F1265"/>
    <w:rsid w:val="7C855A65"/>
    <w:rsid w:val="7C8B5D9F"/>
    <w:rsid w:val="7C8D66C7"/>
    <w:rsid w:val="7C931D12"/>
    <w:rsid w:val="7C943EFA"/>
    <w:rsid w:val="7C9537CE"/>
    <w:rsid w:val="7C980A81"/>
    <w:rsid w:val="7C993A07"/>
    <w:rsid w:val="7C995F1A"/>
    <w:rsid w:val="7CA21FCA"/>
    <w:rsid w:val="7CA657AE"/>
    <w:rsid w:val="7CAA6A86"/>
    <w:rsid w:val="7CAB0325"/>
    <w:rsid w:val="7CAB1522"/>
    <w:rsid w:val="7CAB7ECE"/>
    <w:rsid w:val="7CAF4890"/>
    <w:rsid w:val="7CB27FEC"/>
    <w:rsid w:val="7CB400F8"/>
    <w:rsid w:val="7CBC6B4A"/>
    <w:rsid w:val="7CBF320A"/>
    <w:rsid w:val="7CC12815"/>
    <w:rsid w:val="7CC14729"/>
    <w:rsid w:val="7CC16371"/>
    <w:rsid w:val="7CC23977"/>
    <w:rsid w:val="7CC320E9"/>
    <w:rsid w:val="7CC72847"/>
    <w:rsid w:val="7CC85951"/>
    <w:rsid w:val="7CC942B4"/>
    <w:rsid w:val="7CCA22BA"/>
    <w:rsid w:val="7CCA3477"/>
    <w:rsid w:val="7CCD740C"/>
    <w:rsid w:val="7CCF4F32"/>
    <w:rsid w:val="7CD04B69"/>
    <w:rsid w:val="7CD17673"/>
    <w:rsid w:val="7CD24A22"/>
    <w:rsid w:val="7CD442EB"/>
    <w:rsid w:val="7CD87844"/>
    <w:rsid w:val="7CDA3FA9"/>
    <w:rsid w:val="7CE02E12"/>
    <w:rsid w:val="7CE10EED"/>
    <w:rsid w:val="7CE420A2"/>
    <w:rsid w:val="7CE4396D"/>
    <w:rsid w:val="7CE747FA"/>
    <w:rsid w:val="7CE96313"/>
    <w:rsid w:val="7CEA1D6C"/>
    <w:rsid w:val="7CF40469"/>
    <w:rsid w:val="7CF44998"/>
    <w:rsid w:val="7CF6054F"/>
    <w:rsid w:val="7CF62AD6"/>
    <w:rsid w:val="7CF84488"/>
    <w:rsid w:val="7CFE2373"/>
    <w:rsid w:val="7D0233C0"/>
    <w:rsid w:val="7D023F57"/>
    <w:rsid w:val="7D034AE8"/>
    <w:rsid w:val="7D057250"/>
    <w:rsid w:val="7D085ECB"/>
    <w:rsid w:val="7D0A7D18"/>
    <w:rsid w:val="7D0E1F1A"/>
    <w:rsid w:val="7D1120BC"/>
    <w:rsid w:val="7D11375D"/>
    <w:rsid w:val="7D11554A"/>
    <w:rsid w:val="7D13400D"/>
    <w:rsid w:val="7D172435"/>
    <w:rsid w:val="7D1776CB"/>
    <w:rsid w:val="7D1A1F12"/>
    <w:rsid w:val="7D1D108E"/>
    <w:rsid w:val="7D224F56"/>
    <w:rsid w:val="7D242148"/>
    <w:rsid w:val="7D2428A3"/>
    <w:rsid w:val="7D263DC2"/>
    <w:rsid w:val="7D2A03BA"/>
    <w:rsid w:val="7D2D1C58"/>
    <w:rsid w:val="7D2D1F99"/>
    <w:rsid w:val="7D2D5AEA"/>
    <w:rsid w:val="7D2E1B6D"/>
    <w:rsid w:val="7D2F158C"/>
    <w:rsid w:val="7D2F2494"/>
    <w:rsid w:val="7D311748"/>
    <w:rsid w:val="7D311AEB"/>
    <w:rsid w:val="7D323F28"/>
    <w:rsid w:val="7D3538E0"/>
    <w:rsid w:val="7D3635D1"/>
    <w:rsid w:val="7D380FF9"/>
    <w:rsid w:val="7D386227"/>
    <w:rsid w:val="7D387643"/>
    <w:rsid w:val="7D392A25"/>
    <w:rsid w:val="7D3D633F"/>
    <w:rsid w:val="7D3E1648"/>
    <w:rsid w:val="7D4064A5"/>
    <w:rsid w:val="7D417277"/>
    <w:rsid w:val="7D427194"/>
    <w:rsid w:val="7D43322A"/>
    <w:rsid w:val="7D472D1A"/>
    <w:rsid w:val="7D496E2D"/>
    <w:rsid w:val="7D4B10B3"/>
    <w:rsid w:val="7D4D49E8"/>
    <w:rsid w:val="7D594994"/>
    <w:rsid w:val="7D5A28D6"/>
    <w:rsid w:val="7D5B0F9F"/>
    <w:rsid w:val="7D5B6FBC"/>
    <w:rsid w:val="7D5F108B"/>
    <w:rsid w:val="7D63567A"/>
    <w:rsid w:val="7D6543A6"/>
    <w:rsid w:val="7D65604B"/>
    <w:rsid w:val="7D6667FD"/>
    <w:rsid w:val="7D67516A"/>
    <w:rsid w:val="7D6902D9"/>
    <w:rsid w:val="7D695A51"/>
    <w:rsid w:val="7D6A4C5A"/>
    <w:rsid w:val="7D6A6A08"/>
    <w:rsid w:val="7D6D5A2B"/>
    <w:rsid w:val="7D6F642F"/>
    <w:rsid w:val="7D7004C3"/>
    <w:rsid w:val="7D725220"/>
    <w:rsid w:val="7D7338E5"/>
    <w:rsid w:val="7D7653AD"/>
    <w:rsid w:val="7D781125"/>
    <w:rsid w:val="7D7D613E"/>
    <w:rsid w:val="7D806691"/>
    <w:rsid w:val="7D81011A"/>
    <w:rsid w:val="7D851A94"/>
    <w:rsid w:val="7D861F97"/>
    <w:rsid w:val="7D882269"/>
    <w:rsid w:val="7D883A18"/>
    <w:rsid w:val="7D8A47DD"/>
    <w:rsid w:val="7D91435F"/>
    <w:rsid w:val="7D916095"/>
    <w:rsid w:val="7D93050D"/>
    <w:rsid w:val="7D9341B1"/>
    <w:rsid w:val="7D944D1D"/>
    <w:rsid w:val="7D9A12BB"/>
    <w:rsid w:val="7D9A72EE"/>
    <w:rsid w:val="7D9B2D77"/>
    <w:rsid w:val="7D9B3066"/>
    <w:rsid w:val="7D9C5A08"/>
    <w:rsid w:val="7D9F605D"/>
    <w:rsid w:val="7DA107BE"/>
    <w:rsid w:val="7DA22646"/>
    <w:rsid w:val="7DA243F4"/>
    <w:rsid w:val="7DA36902"/>
    <w:rsid w:val="7DA41759"/>
    <w:rsid w:val="7DA87189"/>
    <w:rsid w:val="7DA912DF"/>
    <w:rsid w:val="7DA96A24"/>
    <w:rsid w:val="7DAA4829"/>
    <w:rsid w:val="7DAB14FB"/>
    <w:rsid w:val="7DAE05E8"/>
    <w:rsid w:val="7DAE6635"/>
    <w:rsid w:val="7DAF4532"/>
    <w:rsid w:val="7DAF55D2"/>
    <w:rsid w:val="7DB13B00"/>
    <w:rsid w:val="7DB71DCB"/>
    <w:rsid w:val="7DB96CFA"/>
    <w:rsid w:val="7DBB1012"/>
    <w:rsid w:val="7DBB7264"/>
    <w:rsid w:val="7DBC210C"/>
    <w:rsid w:val="7DBD4D8A"/>
    <w:rsid w:val="7DBF07E9"/>
    <w:rsid w:val="7DC01D81"/>
    <w:rsid w:val="7DC34751"/>
    <w:rsid w:val="7DC81784"/>
    <w:rsid w:val="7DC91981"/>
    <w:rsid w:val="7DC92634"/>
    <w:rsid w:val="7DC9662D"/>
    <w:rsid w:val="7DCB56F9"/>
    <w:rsid w:val="7DCD605E"/>
    <w:rsid w:val="7DCD6EB2"/>
    <w:rsid w:val="7DCE6F97"/>
    <w:rsid w:val="7DCF5339"/>
    <w:rsid w:val="7DCF59BB"/>
    <w:rsid w:val="7DD07777"/>
    <w:rsid w:val="7DD2688B"/>
    <w:rsid w:val="7DD65E4C"/>
    <w:rsid w:val="7DD82259"/>
    <w:rsid w:val="7DD9576F"/>
    <w:rsid w:val="7DDE48D9"/>
    <w:rsid w:val="7DE06CCB"/>
    <w:rsid w:val="7DE148D5"/>
    <w:rsid w:val="7DE30C52"/>
    <w:rsid w:val="7DE41A9B"/>
    <w:rsid w:val="7DE844FD"/>
    <w:rsid w:val="7DEA788D"/>
    <w:rsid w:val="7DEB41A6"/>
    <w:rsid w:val="7DEE7D58"/>
    <w:rsid w:val="7DEF3744"/>
    <w:rsid w:val="7DF2001A"/>
    <w:rsid w:val="7DF355A5"/>
    <w:rsid w:val="7DF75804"/>
    <w:rsid w:val="7DF77766"/>
    <w:rsid w:val="7DF84014"/>
    <w:rsid w:val="7DF86B68"/>
    <w:rsid w:val="7DFC0C1A"/>
    <w:rsid w:val="7E026C41"/>
    <w:rsid w:val="7E091D8E"/>
    <w:rsid w:val="7E0A6742"/>
    <w:rsid w:val="7E0B54F1"/>
    <w:rsid w:val="7E0C27A6"/>
    <w:rsid w:val="7E0C49F0"/>
    <w:rsid w:val="7E12157A"/>
    <w:rsid w:val="7E130E4E"/>
    <w:rsid w:val="7E134EC6"/>
    <w:rsid w:val="7E1370A0"/>
    <w:rsid w:val="7E145504"/>
    <w:rsid w:val="7E152E18"/>
    <w:rsid w:val="7E156974"/>
    <w:rsid w:val="7E167D92"/>
    <w:rsid w:val="7E1A2A46"/>
    <w:rsid w:val="7E1D0F7B"/>
    <w:rsid w:val="7E2422F5"/>
    <w:rsid w:val="7E25596D"/>
    <w:rsid w:val="7E2755CB"/>
    <w:rsid w:val="7E2B1381"/>
    <w:rsid w:val="7E2D0162"/>
    <w:rsid w:val="7E2E3CA0"/>
    <w:rsid w:val="7E2E7A36"/>
    <w:rsid w:val="7E2E7ECC"/>
    <w:rsid w:val="7E370825"/>
    <w:rsid w:val="7E370FE0"/>
    <w:rsid w:val="7E3743B9"/>
    <w:rsid w:val="7E3979AD"/>
    <w:rsid w:val="7E3C03A5"/>
    <w:rsid w:val="7E3E4819"/>
    <w:rsid w:val="7E3F0E8B"/>
    <w:rsid w:val="7E413C0D"/>
    <w:rsid w:val="7E415A65"/>
    <w:rsid w:val="7E4454AB"/>
    <w:rsid w:val="7E476FDC"/>
    <w:rsid w:val="7E494870"/>
    <w:rsid w:val="7E534CB8"/>
    <w:rsid w:val="7E53749D"/>
    <w:rsid w:val="7E595AB3"/>
    <w:rsid w:val="7E5E656D"/>
    <w:rsid w:val="7E63110C"/>
    <w:rsid w:val="7E632559"/>
    <w:rsid w:val="7E655B4E"/>
    <w:rsid w:val="7E6747BC"/>
    <w:rsid w:val="7E681442"/>
    <w:rsid w:val="7E696CC0"/>
    <w:rsid w:val="7E6B47E6"/>
    <w:rsid w:val="7E6E6589"/>
    <w:rsid w:val="7E7608E7"/>
    <w:rsid w:val="7E763FE8"/>
    <w:rsid w:val="7E7713DD"/>
    <w:rsid w:val="7E7F0292"/>
    <w:rsid w:val="7E7F7770"/>
    <w:rsid w:val="7E8120C3"/>
    <w:rsid w:val="7E81400A"/>
    <w:rsid w:val="7E837D82"/>
    <w:rsid w:val="7E847419"/>
    <w:rsid w:val="7E851A9F"/>
    <w:rsid w:val="7E8B2C99"/>
    <w:rsid w:val="7E8C34AC"/>
    <w:rsid w:val="7E8D2DEF"/>
    <w:rsid w:val="7E8E1583"/>
    <w:rsid w:val="7E9110CA"/>
    <w:rsid w:val="7E927FC5"/>
    <w:rsid w:val="7E977CD1"/>
    <w:rsid w:val="7E98340B"/>
    <w:rsid w:val="7E9C3068"/>
    <w:rsid w:val="7EA0441F"/>
    <w:rsid w:val="7EA06B86"/>
    <w:rsid w:val="7EA5419C"/>
    <w:rsid w:val="7EAD236E"/>
    <w:rsid w:val="7EAF501B"/>
    <w:rsid w:val="7EB00AFC"/>
    <w:rsid w:val="7EB02B41"/>
    <w:rsid w:val="7EB048EF"/>
    <w:rsid w:val="7EB22415"/>
    <w:rsid w:val="7EB25082"/>
    <w:rsid w:val="7EB42B86"/>
    <w:rsid w:val="7EB443DF"/>
    <w:rsid w:val="7EB61467"/>
    <w:rsid w:val="7EB66B99"/>
    <w:rsid w:val="7EB7041E"/>
    <w:rsid w:val="7EBD41B3"/>
    <w:rsid w:val="7EBD7FF8"/>
    <w:rsid w:val="7EBE1262"/>
    <w:rsid w:val="7EC87133"/>
    <w:rsid w:val="7ECE0848"/>
    <w:rsid w:val="7ED433AB"/>
    <w:rsid w:val="7ED52613"/>
    <w:rsid w:val="7ED54355"/>
    <w:rsid w:val="7EDB1731"/>
    <w:rsid w:val="7EDF0AE5"/>
    <w:rsid w:val="7EE051D4"/>
    <w:rsid w:val="7EEA7E01"/>
    <w:rsid w:val="7EED548B"/>
    <w:rsid w:val="7EED5B43"/>
    <w:rsid w:val="7EEF18BB"/>
    <w:rsid w:val="7EF22BC2"/>
    <w:rsid w:val="7EF43B2E"/>
    <w:rsid w:val="7EF80A3E"/>
    <w:rsid w:val="7EFA2E85"/>
    <w:rsid w:val="7EFA59D6"/>
    <w:rsid w:val="7EFD3D09"/>
    <w:rsid w:val="7EFE6030"/>
    <w:rsid w:val="7F007624"/>
    <w:rsid w:val="7F032FD4"/>
    <w:rsid w:val="7F03510C"/>
    <w:rsid w:val="7F041F6E"/>
    <w:rsid w:val="7F054249"/>
    <w:rsid w:val="7F0A046A"/>
    <w:rsid w:val="7F0B7D77"/>
    <w:rsid w:val="7F10538E"/>
    <w:rsid w:val="7F141322"/>
    <w:rsid w:val="7F1715E4"/>
    <w:rsid w:val="7F172A6E"/>
    <w:rsid w:val="7F1D101C"/>
    <w:rsid w:val="7F2221F6"/>
    <w:rsid w:val="7F233313"/>
    <w:rsid w:val="7F244BF6"/>
    <w:rsid w:val="7F25385E"/>
    <w:rsid w:val="7F2773BD"/>
    <w:rsid w:val="7F2869A1"/>
    <w:rsid w:val="7F2A46A1"/>
    <w:rsid w:val="7F2A6527"/>
    <w:rsid w:val="7F2D38E8"/>
    <w:rsid w:val="7F2E23E3"/>
    <w:rsid w:val="7F2F1CB8"/>
    <w:rsid w:val="7F323198"/>
    <w:rsid w:val="7F376050"/>
    <w:rsid w:val="7F381DA7"/>
    <w:rsid w:val="7F390634"/>
    <w:rsid w:val="7F3948E4"/>
    <w:rsid w:val="7F3C40BB"/>
    <w:rsid w:val="7F3D43D5"/>
    <w:rsid w:val="7F3F6DB3"/>
    <w:rsid w:val="7F413799"/>
    <w:rsid w:val="7F416D2B"/>
    <w:rsid w:val="7F435763"/>
    <w:rsid w:val="7F4A1AC7"/>
    <w:rsid w:val="7F4A40FF"/>
    <w:rsid w:val="7F4A4731"/>
    <w:rsid w:val="7F4A4D43"/>
    <w:rsid w:val="7F4A5E6D"/>
    <w:rsid w:val="7F4C286A"/>
    <w:rsid w:val="7F4D213E"/>
    <w:rsid w:val="7F4F4108"/>
    <w:rsid w:val="7F4F751B"/>
    <w:rsid w:val="7F525799"/>
    <w:rsid w:val="7F531E4A"/>
    <w:rsid w:val="7F556235"/>
    <w:rsid w:val="7F55746F"/>
    <w:rsid w:val="7F5736CA"/>
    <w:rsid w:val="7F58120E"/>
    <w:rsid w:val="7F5D78B6"/>
    <w:rsid w:val="7F601E71"/>
    <w:rsid w:val="7F622A13"/>
    <w:rsid w:val="7F644557"/>
    <w:rsid w:val="7F65392B"/>
    <w:rsid w:val="7F6C1E44"/>
    <w:rsid w:val="7F6C44A9"/>
    <w:rsid w:val="7F6C6A68"/>
    <w:rsid w:val="7F6D32BA"/>
    <w:rsid w:val="7F6D5740"/>
    <w:rsid w:val="7F6F0A85"/>
    <w:rsid w:val="7F6F47AA"/>
    <w:rsid w:val="7F724016"/>
    <w:rsid w:val="7F735F98"/>
    <w:rsid w:val="7F755196"/>
    <w:rsid w:val="7F760B8B"/>
    <w:rsid w:val="7F791185"/>
    <w:rsid w:val="7F7D5A97"/>
    <w:rsid w:val="7F7F2C3F"/>
    <w:rsid w:val="7F800062"/>
    <w:rsid w:val="7F852EAA"/>
    <w:rsid w:val="7F865F23"/>
    <w:rsid w:val="7F89586C"/>
    <w:rsid w:val="7F89761A"/>
    <w:rsid w:val="7F8B266C"/>
    <w:rsid w:val="7F8C66B2"/>
    <w:rsid w:val="7F8E4B0A"/>
    <w:rsid w:val="7F8F4030"/>
    <w:rsid w:val="7F923FF5"/>
    <w:rsid w:val="7F930498"/>
    <w:rsid w:val="7F932247"/>
    <w:rsid w:val="7F940989"/>
    <w:rsid w:val="7F992A25"/>
    <w:rsid w:val="7F995383"/>
    <w:rsid w:val="7F9C58D3"/>
    <w:rsid w:val="7F9E70F7"/>
    <w:rsid w:val="7FA206DC"/>
    <w:rsid w:val="7FA31B98"/>
    <w:rsid w:val="7FA426A6"/>
    <w:rsid w:val="7FA42DA6"/>
    <w:rsid w:val="7FA60E90"/>
    <w:rsid w:val="7FA91A6A"/>
    <w:rsid w:val="7FA95D92"/>
    <w:rsid w:val="7FA977A8"/>
    <w:rsid w:val="7FAF1037"/>
    <w:rsid w:val="7FB13343"/>
    <w:rsid w:val="7FB321C5"/>
    <w:rsid w:val="7FB421BD"/>
    <w:rsid w:val="7FB54029"/>
    <w:rsid w:val="7FB7066B"/>
    <w:rsid w:val="7FBB179D"/>
    <w:rsid w:val="7FBB22C9"/>
    <w:rsid w:val="7FC54BD8"/>
    <w:rsid w:val="7FC654DF"/>
    <w:rsid w:val="7FCA1C38"/>
    <w:rsid w:val="7FCA378E"/>
    <w:rsid w:val="7FCA4C26"/>
    <w:rsid w:val="7FCA6C46"/>
    <w:rsid w:val="7FD25BEF"/>
    <w:rsid w:val="7FD4526B"/>
    <w:rsid w:val="7FD93ADD"/>
    <w:rsid w:val="7FDA272A"/>
    <w:rsid w:val="7FDB4F4B"/>
    <w:rsid w:val="7FDD1714"/>
    <w:rsid w:val="7FEA78D5"/>
    <w:rsid w:val="7FEC09EB"/>
    <w:rsid w:val="7FEC7BA9"/>
    <w:rsid w:val="7FF05D3B"/>
    <w:rsid w:val="7FF14F81"/>
    <w:rsid w:val="7FF17B70"/>
    <w:rsid w:val="7FF5778B"/>
    <w:rsid w:val="7FF61FC1"/>
    <w:rsid w:val="7FF6466E"/>
    <w:rsid w:val="7FF8479F"/>
    <w:rsid w:val="7FF96F40"/>
    <w:rsid w:val="7FFA4FF3"/>
    <w:rsid w:val="7FFF5B2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9" w:semiHidden="0" w:name="heading 6"/>
    <w:lsdException w:qFormat="1" w:uiPriority="0" w:name="heading 7"/>
    <w:lsdException w:qFormat="1" w:uiPriority="0" w:name="heading 8"/>
    <w:lsdException w:qFormat="1" w:unhideWhenUsed="0" w:uiPriority="1"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Theme="minorHAnsi" w:hAnsiTheme="minorHAnsi" w:eastAsiaTheme="minorHAnsi" w:cstheme="minorBidi"/>
      <w:sz w:val="22"/>
      <w:szCs w:val="22"/>
      <w:lang w:val="en-US" w:eastAsia="en-US" w:bidi="ar-SA"/>
    </w:rPr>
  </w:style>
  <w:style w:type="paragraph" w:styleId="6">
    <w:name w:val="heading 1"/>
    <w:basedOn w:val="1"/>
    <w:next w:val="1"/>
    <w:autoRedefine/>
    <w:qFormat/>
    <w:uiPriority w:val="1"/>
    <w:pPr>
      <w:ind w:left="2372"/>
      <w:outlineLvl w:val="0"/>
    </w:pPr>
    <w:rPr>
      <w:rFonts w:ascii="Arial Unicode MS" w:hAnsi="Arial Unicode MS" w:eastAsia="Arial Unicode MS"/>
      <w:sz w:val="38"/>
      <w:szCs w:val="38"/>
    </w:rPr>
  </w:style>
  <w:style w:type="paragraph" w:styleId="7">
    <w:name w:val="heading 2"/>
    <w:basedOn w:val="1"/>
    <w:next w:val="1"/>
    <w:qFormat/>
    <w:uiPriority w:val="1"/>
    <w:pPr>
      <w:outlineLvl w:val="1"/>
    </w:pPr>
    <w:rPr>
      <w:rFonts w:ascii="仿宋" w:hAnsi="仿宋" w:eastAsia="仿宋"/>
      <w:sz w:val="36"/>
      <w:szCs w:val="36"/>
    </w:rPr>
  </w:style>
  <w:style w:type="paragraph" w:styleId="8">
    <w:name w:val="heading 3"/>
    <w:basedOn w:val="1"/>
    <w:next w:val="1"/>
    <w:autoRedefine/>
    <w:qFormat/>
    <w:uiPriority w:val="1"/>
    <w:pPr>
      <w:spacing w:before="52"/>
      <w:ind w:left="111"/>
      <w:outlineLvl w:val="2"/>
    </w:pPr>
    <w:rPr>
      <w:rFonts w:ascii="黑体" w:hAnsi="黑体" w:eastAsia="黑体"/>
      <w:sz w:val="32"/>
      <w:szCs w:val="32"/>
    </w:rPr>
  </w:style>
  <w:style w:type="paragraph" w:styleId="9">
    <w:name w:val="heading 4"/>
    <w:basedOn w:val="1"/>
    <w:next w:val="1"/>
    <w:semiHidden/>
    <w:unhideWhenUsed/>
    <w:qFormat/>
    <w:uiPriority w:val="0"/>
    <w:pPr>
      <w:keepNext/>
      <w:keepLines/>
      <w:spacing w:line="372" w:lineRule="auto"/>
      <w:outlineLvl w:val="3"/>
    </w:pPr>
    <w:rPr>
      <w:rFonts w:ascii="Arial" w:hAnsi="Arial" w:eastAsia="黑体"/>
      <w:b/>
      <w:sz w:val="28"/>
    </w:rPr>
  </w:style>
  <w:style w:type="paragraph" w:styleId="10">
    <w:name w:val="heading 6"/>
    <w:basedOn w:val="1"/>
    <w:next w:val="1"/>
    <w:unhideWhenUsed/>
    <w:qFormat/>
    <w:uiPriority w:val="9"/>
    <w:pPr>
      <w:keepNext/>
      <w:keepLines/>
      <w:spacing w:before="240" w:after="64" w:line="320" w:lineRule="auto"/>
      <w:outlineLvl w:val="5"/>
    </w:pPr>
    <w:rPr>
      <w:rFonts w:asciiTheme="majorHAnsi" w:hAnsiTheme="majorHAnsi" w:eastAsiaTheme="majorEastAsia" w:cstheme="majorBidi"/>
      <w:b/>
      <w:bCs/>
      <w:sz w:val="24"/>
      <w:szCs w:val="24"/>
    </w:rPr>
  </w:style>
  <w:style w:type="paragraph" w:styleId="11">
    <w:name w:val="heading 9"/>
    <w:basedOn w:val="1"/>
    <w:next w:val="1"/>
    <w:autoRedefine/>
    <w:qFormat/>
    <w:uiPriority w:val="1"/>
    <w:pPr>
      <w:outlineLvl w:val="9"/>
    </w:pPr>
    <w:rPr>
      <w:rFonts w:ascii="宋体" w:hAnsi="宋体" w:eastAsia="宋体"/>
      <w:b/>
      <w:bCs/>
      <w:sz w:val="24"/>
      <w:szCs w:val="24"/>
    </w:rPr>
  </w:style>
  <w:style w:type="character" w:default="1" w:styleId="34">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ind w:firstLine="420" w:firstLineChars="200"/>
    </w:pPr>
  </w:style>
  <w:style w:type="paragraph" w:customStyle="1" w:styleId="3">
    <w:name w:val="Default"/>
    <w:basedOn w:val="4"/>
    <w:next w:val="5"/>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
    <w:name w:val="纯文本1"/>
    <w:basedOn w:val="1"/>
    <w:qFormat/>
    <w:uiPriority w:val="99"/>
    <w:pPr>
      <w:adjustRightInd w:val="0"/>
      <w:textAlignment w:val="baseline"/>
    </w:pPr>
    <w:rPr>
      <w:rFonts w:ascii="宋体" w:hAnsi="Courier New"/>
      <w:szCs w:val="20"/>
    </w:rPr>
  </w:style>
  <w:style w:type="paragraph" w:customStyle="1" w:styleId="5">
    <w:name w:val="Char Char Char Char Char Char1 Char Char Char Char"/>
    <w:basedOn w:val="1"/>
    <w:next w:val="1"/>
    <w:autoRedefine/>
    <w:qFormat/>
    <w:uiPriority w:val="0"/>
    <w:pPr>
      <w:spacing w:line="360" w:lineRule="auto"/>
      <w:ind w:firstLine="200" w:firstLineChars="200"/>
    </w:pPr>
    <w:rPr>
      <w:rFonts w:cs="Times New Roman"/>
    </w:rPr>
  </w:style>
  <w:style w:type="paragraph" w:styleId="12">
    <w:name w:val="List 3"/>
    <w:basedOn w:val="1"/>
    <w:autoRedefine/>
    <w:qFormat/>
    <w:uiPriority w:val="0"/>
    <w:pPr>
      <w:ind w:left="100" w:leftChars="400" w:hanging="200" w:hangingChars="200"/>
      <w:contextualSpacing/>
    </w:pPr>
  </w:style>
  <w:style w:type="paragraph" w:styleId="13">
    <w:name w:val="caption"/>
    <w:basedOn w:val="1"/>
    <w:next w:val="1"/>
    <w:autoRedefine/>
    <w:qFormat/>
    <w:uiPriority w:val="0"/>
    <w:pPr>
      <w:spacing w:before="160" w:after="160" w:line="288" w:lineRule="auto"/>
      <w:ind w:firstLine="510"/>
      <w:jc w:val="center"/>
    </w:pPr>
    <w:rPr>
      <w:rFonts w:ascii="Arial" w:hAnsi="Arial" w:eastAsia="黑体"/>
      <w:sz w:val="24"/>
    </w:rPr>
  </w:style>
  <w:style w:type="paragraph" w:styleId="14">
    <w:name w:val="Document Map"/>
    <w:basedOn w:val="1"/>
    <w:link w:val="65"/>
    <w:autoRedefine/>
    <w:qFormat/>
    <w:uiPriority w:val="0"/>
    <w:rPr>
      <w:rFonts w:ascii="宋体" w:eastAsia="宋体"/>
      <w:sz w:val="18"/>
      <w:szCs w:val="18"/>
    </w:rPr>
  </w:style>
  <w:style w:type="paragraph" w:styleId="15">
    <w:name w:val="annotation text"/>
    <w:basedOn w:val="1"/>
    <w:link w:val="58"/>
    <w:autoRedefine/>
    <w:qFormat/>
    <w:uiPriority w:val="0"/>
  </w:style>
  <w:style w:type="paragraph" w:styleId="16">
    <w:name w:val="Body Text"/>
    <w:basedOn w:val="1"/>
    <w:autoRedefine/>
    <w:qFormat/>
    <w:uiPriority w:val="1"/>
    <w:pPr>
      <w:spacing w:before="7"/>
      <w:ind w:left="3732"/>
    </w:pPr>
    <w:rPr>
      <w:rFonts w:ascii="黑体" w:hAnsi="黑体" w:eastAsia="黑体"/>
      <w:sz w:val="30"/>
      <w:szCs w:val="30"/>
    </w:rPr>
  </w:style>
  <w:style w:type="paragraph" w:styleId="17">
    <w:name w:val="Body Text Indent"/>
    <w:basedOn w:val="1"/>
    <w:next w:val="1"/>
    <w:autoRedefine/>
    <w:qFormat/>
    <w:uiPriority w:val="0"/>
    <w:pPr>
      <w:spacing w:after="120"/>
      <w:ind w:left="420" w:leftChars="200"/>
    </w:pPr>
  </w:style>
  <w:style w:type="paragraph" w:styleId="18">
    <w:name w:val="Block Text"/>
    <w:basedOn w:val="1"/>
    <w:next w:val="19"/>
    <w:autoRedefine/>
    <w:qFormat/>
    <w:uiPriority w:val="0"/>
    <w:pPr>
      <w:spacing w:after="120"/>
      <w:ind w:left="1440" w:leftChars="700" w:right="1440" w:rightChars="700"/>
    </w:pPr>
  </w:style>
  <w:style w:type="paragraph" w:styleId="19">
    <w:name w:val="List Paragraph"/>
    <w:basedOn w:val="1"/>
    <w:next w:val="20"/>
    <w:autoRedefine/>
    <w:qFormat/>
    <w:uiPriority w:val="1"/>
  </w:style>
  <w:style w:type="paragraph" w:customStyle="1" w:styleId="20">
    <w:name w:val="居中正文"/>
    <w:next w:val="17"/>
    <w:autoRedefine/>
    <w:qFormat/>
    <w:uiPriority w:val="0"/>
    <w:pPr>
      <w:widowControl w:val="0"/>
      <w:spacing w:before="120" w:line="360" w:lineRule="auto"/>
      <w:jc w:val="center"/>
    </w:pPr>
    <w:rPr>
      <w:rFonts w:ascii="Times New Roman" w:hAnsi="Times New Roman" w:eastAsia="宋体" w:cs="Times New Roman"/>
      <w:sz w:val="24"/>
      <w:lang w:val="en-US" w:eastAsia="zh-CN" w:bidi="ar-SA"/>
    </w:rPr>
  </w:style>
  <w:style w:type="paragraph" w:styleId="21">
    <w:name w:val="Plain Text"/>
    <w:basedOn w:val="1"/>
    <w:autoRedefine/>
    <w:qFormat/>
    <w:uiPriority w:val="0"/>
    <w:rPr>
      <w:rFonts w:ascii="宋体" w:hAnsi="Courier New"/>
    </w:rPr>
  </w:style>
  <w:style w:type="paragraph" w:styleId="22">
    <w:name w:val="Balloon Text"/>
    <w:basedOn w:val="1"/>
    <w:link w:val="56"/>
    <w:autoRedefine/>
    <w:qFormat/>
    <w:uiPriority w:val="0"/>
    <w:rPr>
      <w:sz w:val="18"/>
      <w:szCs w:val="18"/>
    </w:rPr>
  </w:style>
  <w:style w:type="paragraph" w:styleId="23">
    <w:name w:val="footer"/>
    <w:basedOn w:val="1"/>
    <w:link w:val="57"/>
    <w:qFormat/>
    <w:uiPriority w:val="99"/>
    <w:pPr>
      <w:tabs>
        <w:tab w:val="center" w:pos="4153"/>
        <w:tab w:val="right" w:pos="8306"/>
      </w:tabs>
      <w:snapToGrid w:val="0"/>
    </w:pPr>
    <w:rPr>
      <w:sz w:val="18"/>
    </w:rPr>
  </w:style>
  <w:style w:type="paragraph" w:styleId="2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25">
    <w:name w:val="toc 1"/>
    <w:basedOn w:val="1"/>
    <w:next w:val="1"/>
    <w:qFormat/>
    <w:uiPriority w:val="0"/>
  </w:style>
  <w:style w:type="paragraph" w:styleId="26">
    <w:name w:val="table of figures"/>
    <w:basedOn w:val="1"/>
    <w:next w:val="1"/>
    <w:autoRedefine/>
    <w:unhideWhenUsed/>
    <w:qFormat/>
    <w:uiPriority w:val="99"/>
    <w:pPr>
      <w:ind w:leftChars="200" w:hanging="200" w:hangingChars="200"/>
    </w:pPr>
  </w:style>
  <w:style w:type="paragraph" w:styleId="27">
    <w:name w:val="Normal (Web)"/>
    <w:basedOn w:val="1"/>
    <w:autoRedefine/>
    <w:qFormat/>
    <w:uiPriority w:val="0"/>
    <w:pPr>
      <w:spacing w:beforeAutospacing="1" w:afterAutospacing="1"/>
    </w:pPr>
    <w:rPr>
      <w:rFonts w:cs="Times New Roman"/>
      <w:sz w:val="24"/>
      <w:lang w:eastAsia="zh-CN"/>
    </w:rPr>
  </w:style>
  <w:style w:type="paragraph" w:styleId="28">
    <w:name w:val="annotation subject"/>
    <w:basedOn w:val="15"/>
    <w:next w:val="15"/>
    <w:link w:val="59"/>
    <w:autoRedefine/>
    <w:qFormat/>
    <w:uiPriority w:val="0"/>
    <w:rPr>
      <w:b/>
      <w:bCs/>
    </w:rPr>
  </w:style>
  <w:style w:type="paragraph" w:styleId="29">
    <w:name w:val="Body Text First Indent"/>
    <w:basedOn w:val="16"/>
    <w:next w:val="30"/>
    <w:autoRedefine/>
    <w:qFormat/>
    <w:uiPriority w:val="0"/>
    <w:pPr>
      <w:ind w:firstLine="420" w:firstLineChars="100"/>
    </w:pPr>
  </w:style>
  <w:style w:type="paragraph" w:customStyle="1" w:styleId="30">
    <w:name w:val="正文文字（首行缩进2字）"/>
    <w:basedOn w:val="1"/>
    <w:autoRedefine/>
    <w:qFormat/>
    <w:uiPriority w:val="0"/>
    <w:pPr>
      <w:spacing w:line="360" w:lineRule="auto"/>
      <w:ind w:firstLine="200" w:firstLineChars="200"/>
    </w:pPr>
    <w:rPr>
      <w:rFonts w:ascii="Arial" w:hAnsi="Arial" w:eastAsia="宋体"/>
      <w:position w:val="-30"/>
      <w:sz w:val="24"/>
    </w:rPr>
  </w:style>
  <w:style w:type="paragraph" w:styleId="31">
    <w:name w:val="Body Text First Indent 2"/>
    <w:basedOn w:val="17"/>
    <w:next w:val="1"/>
    <w:autoRedefine/>
    <w:qFormat/>
    <w:uiPriority w:val="99"/>
    <w:pPr>
      <w:ind w:firstLine="420"/>
    </w:pPr>
    <w:rPr>
      <w:rFonts w:ascii="等线" w:eastAsia="等线"/>
    </w:rPr>
  </w:style>
  <w:style w:type="table" w:styleId="33">
    <w:name w:val="Table Grid"/>
    <w:basedOn w:val="3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Strong"/>
    <w:basedOn w:val="34"/>
    <w:autoRedefine/>
    <w:qFormat/>
    <w:uiPriority w:val="0"/>
    <w:rPr>
      <w:b/>
    </w:rPr>
  </w:style>
  <w:style w:type="character" w:styleId="36">
    <w:name w:val="page number"/>
    <w:basedOn w:val="34"/>
    <w:autoRedefine/>
    <w:qFormat/>
    <w:uiPriority w:val="0"/>
  </w:style>
  <w:style w:type="character" w:styleId="37">
    <w:name w:val="Emphasis"/>
    <w:basedOn w:val="34"/>
    <w:autoRedefine/>
    <w:qFormat/>
    <w:uiPriority w:val="0"/>
    <w:rPr>
      <w:i/>
    </w:rPr>
  </w:style>
  <w:style w:type="character" w:styleId="38">
    <w:name w:val="Hyperlink"/>
    <w:basedOn w:val="34"/>
    <w:autoRedefine/>
    <w:qFormat/>
    <w:uiPriority w:val="0"/>
    <w:rPr>
      <w:color w:val="0000FF"/>
      <w:u w:val="single"/>
    </w:rPr>
  </w:style>
  <w:style w:type="character" w:styleId="39">
    <w:name w:val="annotation reference"/>
    <w:autoRedefine/>
    <w:semiHidden/>
    <w:qFormat/>
    <w:uiPriority w:val="0"/>
    <w:rPr>
      <w:sz w:val="21"/>
      <w:szCs w:val="21"/>
    </w:rPr>
  </w:style>
  <w:style w:type="paragraph" w:customStyle="1" w:styleId="40">
    <w:name w:val="0正文"/>
    <w:basedOn w:val="17"/>
    <w:autoRedefine/>
    <w:unhideWhenUsed/>
    <w:qFormat/>
    <w:uiPriority w:val="0"/>
    <w:pPr>
      <w:spacing w:line="360" w:lineRule="auto"/>
      <w:ind w:firstLine="720" w:firstLineChars="200"/>
    </w:pPr>
    <w:rPr>
      <w:sz w:val="24"/>
      <w:lang w:eastAsia="zh-CN"/>
    </w:rPr>
  </w:style>
  <w:style w:type="table" w:customStyle="1" w:styleId="41">
    <w:name w:val="Table Normal"/>
    <w:autoRedefine/>
    <w:semiHidden/>
    <w:unhideWhenUsed/>
    <w:qFormat/>
    <w:uiPriority w:val="2"/>
    <w:tblPr>
      <w:tblCellMar>
        <w:top w:w="0" w:type="dxa"/>
        <w:left w:w="0" w:type="dxa"/>
        <w:bottom w:w="0" w:type="dxa"/>
        <w:right w:w="0" w:type="dxa"/>
      </w:tblCellMar>
    </w:tblPr>
  </w:style>
  <w:style w:type="paragraph" w:customStyle="1" w:styleId="42">
    <w:name w:val="Table Paragraph"/>
    <w:basedOn w:val="1"/>
    <w:autoRedefine/>
    <w:qFormat/>
    <w:uiPriority w:val="1"/>
  </w:style>
  <w:style w:type="paragraph" w:customStyle="1" w:styleId="43">
    <w:name w:val="表格名"/>
    <w:basedOn w:val="44"/>
    <w:next w:val="45"/>
    <w:autoRedefine/>
    <w:qFormat/>
    <w:uiPriority w:val="0"/>
    <w:pPr>
      <w:spacing w:line="360" w:lineRule="auto"/>
    </w:pPr>
    <w:rPr>
      <w:rFonts w:ascii="Times New Roman" w:hAnsi="Times New Roman"/>
      <w:sz w:val="21"/>
      <w:szCs w:val="21"/>
    </w:rPr>
  </w:style>
  <w:style w:type="paragraph" w:customStyle="1" w:styleId="44">
    <w:name w:val="表格标题"/>
    <w:basedOn w:val="1"/>
    <w:next w:val="43"/>
    <w:autoRedefine/>
    <w:qFormat/>
    <w:uiPriority w:val="0"/>
    <w:pPr>
      <w:spacing w:line="400" w:lineRule="exact"/>
      <w:jc w:val="center"/>
    </w:pPr>
    <w:rPr>
      <w:rFonts w:ascii="宋体" w:hAnsi="Calibri"/>
      <w:b/>
    </w:rPr>
  </w:style>
  <w:style w:type="paragraph" w:customStyle="1" w:styleId="45">
    <w:name w:val="正文小四"/>
    <w:autoRedefine/>
    <w:qFormat/>
    <w:uiPriority w:val="0"/>
    <w:pPr>
      <w:spacing w:line="560" w:lineRule="exact"/>
      <w:ind w:firstLine="200" w:firstLineChars="200"/>
    </w:pPr>
    <w:rPr>
      <w:rFonts w:ascii="Times New Roman" w:hAnsi="Times New Roman" w:eastAsia="宋体" w:cs="Times New Roman"/>
      <w:kern w:val="2"/>
      <w:sz w:val="24"/>
      <w:szCs w:val="24"/>
      <w:lang w:val="en-US" w:eastAsia="zh-CN" w:bidi="ar-SA"/>
    </w:rPr>
  </w:style>
  <w:style w:type="paragraph" w:customStyle="1" w:styleId="46">
    <w:name w:val="表格内"/>
    <w:basedOn w:val="1"/>
    <w:autoRedefine/>
    <w:qFormat/>
    <w:uiPriority w:val="0"/>
    <w:pPr>
      <w:jc w:val="center"/>
    </w:pPr>
    <w:rPr>
      <w:color w:val="000000" w:themeColor="text1"/>
      <w:sz w:val="21"/>
    </w:rPr>
  </w:style>
  <w:style w:type="paragraph" w:customStyle="1" w:styleId="47">
    <w:name w:val="样式 小四 行距: 1.5 倍行距"/>
    <w:basedOn w:val="1"/>
    <w:autoRedefine/>
    <w:qFormat/>
    <w:uiPriority w:val="0"/>
    <w:pPr>
      <w:spacing w:line="360" w:lineRule="auto"/>
      <w:ind w:firstLine="200" w:firstLineChars="200"/>
    </w:pPr>
    <w:rPr>
      <w:rFonts w:eastAsia="仿宋_GB2312" w:cs="宋体"/>
      <w:sz w:val="28"/>
      <w:szCs w:val="20"/>
    </w:rPr>
  </w:style>
  <w:style w:type="character" w:customStyle="1" w:styleId="48">
    <w:name w:val="font21"/>
    <w:basedOn w:val="34"/>
    <w:autoRedefine/>
    <w:qFormat/>
    <w:uiPriority w:val="0"/>
    <w:rPr>
      <w:rFonts w:hint="eastAsia" w:ascii="宋体" w:hAnsi="宋体" w:eastAsia="宋体" w:cs="宋体"/>
      <w:color w:val="333333"/>
      <w:sz w:val="18"/>
      <w:szCs w:val="18"/>
      <w:u w:val="none"/>
      <w:vertAlign w:val="subscript"/>
    </w:rPr>
  </w:style>
  <w:style w:type="character" w:customStyle="1" w:styleId="49">
    <w:name w:val="font31"/>
    <w:basedOn w:val="34"/>
    <w:autoRedefine/>
    <w:qFormat/>
    <w:uiPriority w:val="0"/>
    <w:rPr>
      <w:rFonts w:hint="eastAsia" w:ascii="宋体" w:hAnsi="宋体" w:eastAsia="宋体" w:cs="宋体"/>
      <w:color w:val="333333"/>
      <w:sz w:val="18"/>
      <w:szCs w:val="18"/>
      <w:u w:val="none"/>
    </w:rPr>
  </w:style>
  <w:style w:type="paragraph" w:customStyle="1" w:styleId="50">
    <w:name w:val="表内格式"/>
    <w:basedOn w:val="1"/>
    <w:autoRedefine/>
    <w:qFormat/>
    <w:uiPriority w:val="0"/>
    <w:pPr>
      <w:jc w:val="center"/>
    </w:pPr>
    <w:rPr>
      <w:sz w:val="18"/>
    </w:rPr>
  </w:style>
  <w:style w:type="paragraph" w:customStyle="1" w:styleId="51">
    <w:name w:val="正文11"/>
    <w:basedOn w:val="52"/>
    <w:autoRedefine/>
    <w:qFormat/>
    <w:uiPriority w:val="0"/>
  </w:style>
  <w:style w:type="paragraph" w:customStyle="1" w:styleId="52">
    <w:name w:val="正文2"/>
    <w:basedOn w:val="53"/>
    <w:autoRedefine/>
    <w:qFormat/>
    <w:uiPriority w:val="0"/>
    <w:pPr>
      <w:spacing w:line="440" w:lineRule="atLeast"/>
    </w:pPr>
    <w:rPr>
      <w:sz w:val="24"/>
    </w:rPr>
  </w:style>
  <w:style w:type="paragraph" w:customStyle="1" w:styleId="53">
    <w:name w:val="正文1"/>
    <w:basedOn w:val="1"/>
    <w:autoRedefine/>
    <w:qFormat/>
    <w:uiPriority w:val="0"/>
    <w:pPr>
      <w:adjustRightInd w:val="0"/>
      <w:snapToGrid w:val="0"/>
      <w:spacing w:line="500" w:lineRule="atLeast"/>
      <w:ind w:firstLine="567"/>
    </w:pPr>
    <w:rPr>
      <w:sz w:val="28"/>
      <w:szCs w:val="20"/>
    </w:rPr>
  </w:style>
  <w:style w:type="paragraph" w:customStyle="1" w:styleId="54">
    <w:name w:val="报告书正文"/>
    <w:basedOn w:val="1"/>
    <w:autoRedefine/>
    <w:qFormat/>
    <w:uiPriority w:val="0"/>
    <w:pPr>
      <w:spacing w:line="360" w:lineRule="auto"/>
      <w:ind w:firstLine="200" w:firstLineChars="200"/>
    </w:pPr>
    <w:rPr>
      <w:sz w:val="24"/>
      <w:szCs w:val="20"/>
    </w:rPr>
  </w:style>
  <w:style w:type="paragraph" w:customStyle="1" w:styleId="55">
    <w:name w:val="样式 标题 2 + Times New Roman"/>
    <w:basedOn w:val="7"/>
    <w:autoRedefine/>
    <w:qFormat/>
    <w:uiPriority w:val="0"/>
    <w:pPr>
      <w:spacing w:line="360" w:lineRule="auto"/>
      <w:ind w:firstLine="200" w:firstLineChars="200"/>
    </w:pPr>
    <w:rPr>
      <w:rFonts w:ascii="Times New Roman" w:hAnsi="Times New Roman"/>
      <w:sz w:val="28"/>
    </w:rPr>
  </w:style>
  <w:style w:type="character" w:customStyle="1" w:styleId="56">
    <w:name w:val="批注框文本 Char"/>
    <w:basedOn w:val="34"/>
    <w:link w:val="22"/>
    <w:autoRedefine/>
    <w:qFormat/>
    <w:uiPriority w:val="0"/>
    <w:rPr>
      <w:rFonts w:asciiTheme="minorHAnsi" w:hAnsiTheme="minorHAnsi" w:eastAsiaTheme="minorHAnsi" w:cstheme="minorBidi"/>
      <w:sz w:val="18"/>
      <w:szCs w:val="18"/>
      <w:lang w:eastAsia="en-US"/>
    </w:rPr>
  </w:style>
  <w:style w:type="character" w:customStyle="1" w:styleId="57">
    <w:name w:val="页脚 Char"/>
    <w:basedOn w:val="34"/>
    <w:link w:val="23"/>
    <w:autoRedefine/>
    <w:qFormat/>
    <w:uiPriority w:val="99"/>
    <w:rPr>
      <w:rFonts w:asciiTheme="minorHAnsi" w:hAnsiTheme="minorHAnsi" w:eastAsiaTheme="minorHAnsi" w:cstheme="minorBidi"/>
      <w:sz w:val="18"/>
      <w:szCs w:val="22"/>
      <w:lang w:eastAsia="en-US"/>
    </w:rPr>
  </w:style>
  <w:style w:type="character" w:customStyle="1" w:styleId="58">
    <w:name w:val="批注文字 Char"/>
    <w:basedOn w:val="34"/>
    <w:link w:val="15"/>
    <w:autoRedefine/>
    <w:qFormat/>
    <w:uiPriority w:val="0"/>
    <w:rPr>
      <w:rFonts w:asciiTheme="minorHAnsi" w:hAnsiTheme="minorHAnsi" w:eastAsiaTheme="minorHAnsi" w:cstheme="minorBidi"/>
      <w:sz w:val="22"/>
      <w:szCs w:val="22"/>
      <w:lang w:eastAsia="en-US"/>
    </w:rPr>
  </w:style>
  <w:style w:type="character" w:customStyle="1" w:styleId="59">
    <w:name w:val="批注主题 Char"/>
    <w:basedOn w:val="58"/>
    <w:link w:val="28"/>
    <w:autoRedefine/>
    <w:qFormat/>
    <w:uiPriority w:val="0"/>
    <w:rPr>
      <w:rFonts w:asciiTheme="minorHAnsi" w:hAnsiTheme="minorHAnsi" w:eastAsiaTheme="minorHAnsi" w:cstheme="minorBidi"/>
      <w:b/>
      <w:bCs/>
      <w:sz w:val="22"/>
      <w:szCs w:val="22"/>
      <w:lang w:eastAsia="en-US"/>
    </w:rPr>
  </w:style>
  <w:style w:type="paragraph" w:customStyle="1" w:styleId="60">
    <w:name w:val="表格样式1"/>
    <w:autoRedefine/>
    <w:qFormat/>
    <w:uiPriority w:val="0"/>
    <w:pPr>
      <w:adjustRightInd w:val="0"/>
      <w:snapToGrid w:val="0"/>
      <w:jc w:val="center"/>
    </w:pPr>
    <w:rPr>
      <w:rFonts w:ascii="Times New Roman" w:hAnsi="Times New Roman" w:eastAsia="楷体_GB2312" w:cs="Times New Roman"/>
      <w:sz w:val="24"/>
      <w:szCs w:val="22"/>
      <w:lang w:val="en-US" w:eastAsia="zh-CN" w:bidi="ar-SA"/>
    </w:rPr>
  </w:style>
  <w:style w:type="character" w:customStyle="1" w:styleId="61">
    <w:name w:val="font61"/>
    <w:basedOn w:val="34"/>
    <w:autoRedefine/>
    <w:qFormat/>
    <w:uiPriority w:val="0"/>
    <w:rPr>
      <w:rFonts w:hint="default" w:ascii="Times New Roman" w:hAnsi="Times New Roman" w:cs="Times New Roman"/>
      <w:color w:val="000000"/>
      <w:sz w:val="24"/>
      <w:szCs w:val="24"/>
      <w:u w:val="none"/>
      <w:vertAlign w:val="subscript"/>
    </w:rPr>
  </w:style>
  <w:style w:type="character" w:customStyle="1" w:styleId="62">
    <w:name w:val="font41"/>
    <w:basedOn w:val="34"/>
    <w:autoRedefine/>
    <w:qFormat/>
    <w:uiPriority w:val="0"/>
    <w:rPr>
      <w:rFonts w:hint="default" w:ascii="Times New Roman" w:hAnsi="Times New Roman" w:cs="Times New Roman"/>
      <w:color w:val="000000"/>
      <w:sz w:val="24"/>
      <w:szCs w:val="24"/>
      <w:u w:val="none"/>
    </w:rPr>
  </w:style>
  <w:style w:type="character" w:customStyle="1" w:styleId="63">
    <w:name w:val="font51"/>
    <w:basedOn w:val="34"/>
    <w:autoRedefine/>
    <w:qFormat/>
    <w:uiPriority w:val="0"/>
    <w:rPr>
      <w:rFonts w:hint="eastAsia" w:ascii="宋体" w:hAnsi="宋体" w:eastAsia="宋体" w:cs="宋体"/>
      <w:color w:val="FF0000"/>
      <w:sz w:val="21"/>
      <w:szCs w:val="21"/>
      <w:u w:val="none"/>
    </w:rPr>
  </w:style>
  <w:style w:type="character" w:customStyle="1" w:styleId="64">
    <w:name w:val="font01"/>
    <w:basedOn w:val="34"/>
    <w:autoRedefine/>
    <w:qFormat/>
    <w:uiPriority w:val="0"/>
    <w:rPr>
      <w:rFonts w:hint="eastAsia" w:ascii="宋体" w:hAnsi="宋体" w:eastAsia="宋体" w:cs="宋体"/>
      <w:color w:val="FF0000"/>
      <w:sz w:val="22"/>
      <w:szCs w:val="22"/>
      <w:u w:val="none"/>
    </w:rPr>
  </w:style>
  <w:style w:type="character" w:customStyle="1" w:styleId="65">
    <w:name w:val="文档结构图 Char"/>
    <w:basedOn w:val="34"/>
    <w:link w:val="14"/>
    <w:autoRedefine/>
    <w:qFormat/>
    <w:uiPriority w:val="0"/>
    <w:rPr>
      <w:rFonts w:ascii="宋体" w:hAnsiTheme="minorHAnsi" w:cstheme="minorBidi"/>
      <w:sz w:val="18"/>
      <w:szCs w:val="18"/>
      <w:lang w:eastAsia="en-US"/>
    </w:rPr>
  </w:style>
  <w:style w:type="paragraph" w:customStyle="1" w:styleId="66">
    <w:name w:val="正文内容"/>
    <w:autoRedefine/>
    <w:qFormat/>
    <w:uiPriority w:val="0"/>
    <w:pPr>
      <w:widowControl w:val="0"/>
      <w:snapToGrid w:val="0"/>
      <w:spacing w:before="60" w:beforeLines="0" w:after="60" w:afterLines="0" w:line="48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7">
    <w:name w:val="p0"/>
    <w:basedOn w:val="1"/>
    <w:autoRedefine/>
    <w:qFormat/>
    <w:uiPriority w:val="0"/>
    <w:pPr>
      <w:widowControl/>
      <w:snapToGrid w:val="0"/>
    </w:pPr>
    <w:rPr>
      <w:kern w:val="0"/>
      <w:szCs w:val="21"/>
    </w:rPr>
  </w:style>
  <w:style w:type="paragraph" w:customStyle="1" w:styleId="68">
    <w:name w:val="a正文用"/>
    <w:basedOn w:val="1"/>
    <w:autoRedefine/>
    <w:qFormat/>
    <w:uiPriority w:val="0"/>
    <w:pPr>
      <w:adjustRightInd w:val="0"/>
      <w:snapToGrid w:val="0"/>
      <w:spacing w:line="480" w:lineRule="exact"/>
      <w:ind w:firstLine="200" w:firstLineChars="200"/>
      <w:textAlignment w:val="center"/>
    </w:pPr>
    <w:rPr>
      <w:sz w:val="24"/>
    </w:rPr>
  </w:style>
  <w:style w:type="paragraph" w:customStyle="1" w:styleId="69">
    <w:name w:val="CM15"/>
    <w:basedOn w:val="3"/>
    <w:next w:val="3"/>
    <w:autoRedefine/>
    <w:unhideWhenUsed/>
    <w:qFormat/>
    <w:uiPriority w:val="99"/>
    <w:pPr>
      <w:spacing w:beforeLines="0" w:afterLines="0" w:line="473" w:lineRule="atLeast"/>
    </w:pPr>
    <w:rPr>
      <w:rFonts w:hint="default"/>
      <w:sz w:val="24"/>
    </w:rPr>
  </w:style>
  <w:style w:type="paragraph" w:customStyle="1" w:styleId="70">
    <w:name w:val="CM14"/>
    <w:basedOn w:val="3"/>
    <w:next w:val="3"/>
    <w:autoRedefine/>
    <w:unhideWhenUsed/>
    <w:qFormat/>
    <w:uiPriority w:val="99"/>
    <w:pPr>
      <w:spacing w:beforeLines="0" w:afterLines="0" w:line="468" w:lineRule="atLeast"/>
    </w:pPr>
    <w:rPr>
      <w:rFonts w:hint="default"/>
      <w:sz w:val="24"/>
    </w:rPr>
  </w:style>
  <w:style w:type="paragraph" w:customStyle="1" w:styleId="71">
    <w:name w:val="CM72"/>
    <w:basedOn w:val="3"/>
    <w:next w:val="3"/>
    <w:autoRedefine/>
    <w:unhideWhenUsed/>
    <w:qFormat/>
    <w:uiPriority w:val="99"/>
    <w:pPr>
      <w:spacing w:beforeLines="0" w:afterLines="0"/>
    </w:pPr>
    <w:rPr>
      <w:rFonts w:hint="default"/>
      <w:sz w:val="24"/>
    </w:rPr>
  </w:style>
  <w:style w:type="paragraph" w:customStyle="1" w:styleId="72">
    <w:name w:val="CM76"/>
    <w:basedOn w:val="3"/>
    <w:next w:val="3"/>
    <w:autoRedefine/>
    <w:unhideWhenUsed/>
    <w:qFormat/>
    <w:uiPriority w:val="99"/>
    <w:pPr>
      <w:spacing w:beforeLines="0" w:afterLines="0"/>
    </w:pPr>
    <w:rPr>
      <w:rFonts w:hint="default"/>
      <w:sz w:val="24"/>
    </w:rPr>
  </w:style>
  <w:style w:type="paragraph" w:customStyle="1" w:styleId="73">
    <w:name w:val="xl97"/>
    <w:basedOn w:val="1"/>
    <w:next w:val="74"/>
    <w:autoRedefine/>
    <w:qFormat/>
    <w:uiPriority w:val="0"/>
    <w:pPr>
      <w:widowControl/>
      <w:spacing w:beforeLines="0" w:beforeAutospacing="1" w:after="100" w:afterAutospacing="1" w:line="240" w:lineRule="auto"/>
      <w:jc w:val="left"/>
    </w:pPr>
    <w:rPr>
      <w:rFonts w:ascii="Arial Unicode MS" w:hAnsi="Arial Unicode MS" w:eastAsia="Arial Unicode MS" w:cs="Arial Unicode MS"/>
      <w:kern w:val="0"/>
      <w:sz w:val="22"/>
      <w:szCs w:val="22"/>
    </w:rPr>
  </w:style>
  <w:style w:type="paragraph" w:customStyle="1" w:styleId="74">
    <w:name w:val="xl127"/>
    <w:basedOn w:val="1"/>
    <w:next w:val="75"/>
    <w:autoRedefine/>
    <w:qFormat/>
    <w:uiPriority w:val="99"/>
    <w:pPr>
      <w:widowControl/>
      <w:spacing w:before="100" w:beforeAutospacing="1" w:after="100" w:afterAutospacing="1" w:line="240" w:lineRule="auto"/>
      <w:ind w:firstLine="0" w:firstLineChars="0"/>
      <w:jc w:val="left"/>
    </w:pPr>
    <w:rPr>
      <w:rFonts w:ascii="宋体" w:hAnsi="宋体" w:cs="宋体"/>
      <w:kern w:val="0"/>
      <w:sz w:val="20"/>
      <w:szCs w:val="20"/>
      <w:lang w:val="en-US"/>
    </w:rPr>
  </w:style>
  <w:style w:type="paragraph" w:customStyle="1" w:styleId="75">
    <w:name w:val="1"/>
    <w:basedOn w:val="1"/>
    <w:next w:val="1"/>
    <w:autoRedefine/>
    <w:qFormat/>
    <w:uiPriority w:val="0"/>
    <w:pPr>
      <w:snapToGrid w:val="0"/>
      <w:spacing w:line="360" w:lineRule="exact"/>
    </w:pPr>
    <w:rPr>
      <w:rFonts w:ascii="宋体" w:hAnsi="Courier New"/>
      <w:kern w:val="24"/>
      <w:szCs w:val="20"/>
    </w:rPr>
  </w:style>
  <w:style w:type="paragraph" w:customStyle="1" w:styleId="76">
    <w:name w:val="表格"/>
    <w:basedOn w:val="1"/>
    <w:next w:val="1"/>
    <w:autoRedefine/>
    <w:qFormat/>
    <w:uiPriority w:val="0"/>
    <w:pPr>
      <w:spacing w:line="240" w:lineRule="exact"/>
      <w:jc w:val="center"/>
    </w:pPr>
    <w:rPr>
      <w:rFonts w:ascii="楷体_GB2312" w:eastAsia="楷体_GB2312"/>
      <w:sz w:val="24"/>
    </w:rPr>
  </w:style>
  <w:style w:type="paragraph" w:customStyle="1" w:styleId="77">
    <w:name w:val="表格内容5号"/>
    <w:autoRedefine/>
    <w:qFormat/>
    <w:uiPriority w:val="0"/>
    <w:pPr>
      <w:widowControl w:val="0"/>
      <w:snapToGrid w:val="0"/>
      <w:spacing w:line="240" w:lineRule="atLeast"/>
      <w:jc w:val="center"/>
    </w:pPr>
    <w:rPr>
      <w:rFonts w:asciiTheme="minorHAnsi" w:hAnsiTheme="minorHAnsi" w:eastAsiaTheme="minorEastAsia" w:cstheme="minorBidi"/>
      <w:kern w:val="2"/>
      <w:sz w:val="21"/>
      <w:szCs w:val="24"/>
      <w:lang w:val="en-US" w:eastAsia="zh-CN" w:bidi="ar-SA"/>
    </w:rPr>
  </w:style>
  <w:style w:type="paragraph" w:customStyle="1" w:styleId="78">
    <w:name w:val="Table Text"/>
    <w:basedOn w:val="1"/>
    <w:autoRedefine/>
    <w:semiHidden/>
    <w:qFormat/>
    <w:uiPriority w:val="0"/>
    <w:rPr>
      <w:rFonts w:ascii="宋体" w:hAnsi="宋体" w:eastAsia="宋体" w:cs="宋体"/>
      <w:sz w:val="21"/>
      <w:szCs w:val="21"/>
      <w:lang w:val="en-US" w:eastAsia="en-US" w:bidi="ar-SA"/>
    </w:rPr>
  </w:style>
  <w:style w:type="paragraph" w:customStyle="1" w:styleId="79">
    <w:name w:val="表格文字"/>
    <w:basedOn w:val="1"/>
    <w:autoRedefine/>
    <w:qFormat/>
    <w:uiPriority w:val="0"/>
    <w:pPr>
      <w:spacing w:beforeLines="0" w:line="240" w:lineRule="auto"/>
      <w:jc w:val="center"/>
      <w:outlineLvl w:val="0"/>
    </w:pPr>
    <w:rPr>
      <w:rFonts w:ascii="宋体" w:hAnsi="宋体"/>
      <w:spacing w:val="2"/>
      <w:sz w:val="21"/>
      <w:szCs w:val="28"/>
    </w:rPr>
  </w:style>
  <w:style w:type="paragraph" w:customStyle="1" w:styleId="80">
    <w:name w:val="WPSOffice手动目录 1"/>
    <w:qFormat/>
    <w:uiPriority w:val="0"/>
    <w:pPr>
      <w:ind w:leftChars="0"/>
    </w:pPr>
    <w:rPr>
      <w:rFonts w:ascii="Times New Roman" w:hAnsi="Times New Roman" w:eastAsia="宋体" w:cs="Times New Roman"/>
      <w:sz w:val="20"/>
      <w:szCs w:val="20"/>
    </w:rPr>
  </w:style>
  <w:style w:type="paragraph" w:customStyle="1" w:styleId="81">
    <w:name w:val="Body text|1"/>
    <w:basedOn w:val="1"/>
    <w:qFormat/>
    <w:uiPriority w:val="0"/>
    <w:pPr>
      <w:spacing w:after="330" w:line="480" w:lineRule="auto"/>
      <w:ind w:firstLine="400"/>
    </w:pPr>
    <w:rPr>
      <w:sz w:val="20"/>
      <w:szCs w:val="20"/>
      <w:lang w:val="zh-TW" w:eastAsia="zh-TW" w:bidi="zh-TW"/>
    </w:rPr>
  </w:style>
  <w:style w:type="paragraph" w:customStyle="1" w:styleId="82">
    <w:name w:val="样式5"/>
    <w:basedOn w:val="16"/>
    <w:next w:val="1"/>
    <w:qFormat/>
    <w:uiPriority w:val="0"/>
    <w:pPr>
      <w:widowControl w:val="0"/>
      <w:spacing w:after="120" w:line="360" w:lineRule="auto"/>
      <w:ind w:firstLine="480" w:firstLineChars="200"/>
      <w:jc w:val="both"/>
    </w:pPr>
    <w:rPr>
      <w:rFonts w:ascii="Calibri" w:hAnsi="宋体" w:eastAsia="宋体" w:cs="Times New Roman"/>
      <w:bCs/>
      <w:snapToGrid w:val="0"/>
      <w:kern w:val="56"/>
      <w:sz w:val="24"/>
      <w:szCs w:val="22"/>
      <w:lang w:val="en-US" w:eastAsia="zh-CN" w:bidi="ar-SA"/>
    </w:rPr>
  </w:style>
  <w:style w:type="paragraph" w:customStyle="1" w:styleId="83">
    <w:name w:val="xl27"/>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4"/>
      <w:szCs w:val="24"/>
      <w:lang w:val="en-US" w:eastAsia="zh-CN" w:bidi="ar-SA"/>
    </w:rPr>
  </w:style>
  <w:style w:type="paragraph" w:customStyle="1" w:styleId="84">
    <w:name w:val="xl34"/>
    <w:basedOn w:val="1"/>
    <w:qFormat/>
    <w:uiPriority w:val="0"/>
    <w:pPr>
      <w:widowControl/>
      <w:spacing w:before="100" w:after="100"/>
      <w:jc w:val="center"/>
    </w:pPr>
    <w:rPr>
      <w:rFonts w:hint="eastAsia" w:ascii="Arial Unicode MS" w:hAnsi="Arial Unicode MS" w:eastAsia="Arial Unicode MS"/>
      <w:kern w:val="0"/>
      <w:sz w:val="24"/>
      <w:szCs w:val="20"/>
    </w:rPr>
  </w:style>
  <w:style w:type="paragraph" w:customStyle="1" w:styleId="85">
    <w:name w:val="大纲正文"/>
    <w:basedOn w:val="1"/>
    <w:qFormat/>
    <w:uiPriority w:val="0"/>
    <w:pPr>
      <w:adjustRightInd w:val="0"/>
      <w:snapToGrid w:val="0"/>
      <w:spacing w:after="120" w:line="360" w:lineRule="auto"/>
      <w:ind w:firstLine="200" w:firstLineChars="200"/>
    </w:pPr>
    <w:rPr>
      <w:rFonts w:eastAsia="仿宋_GB2312" w:cs="宋体"/>
      <w:kern w:val="0"/>
      <w:sz w:val="28"/>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0.jpeg"/><Relationship Id="rId98" Type="http://schemas.openxmlformats.org/officeDocument/2006/relationships/image" Target="media/image79.jpeg"/><Relationship Id="rId97" Type="http://schemas.openxmlformats.org/officeDocument/2006/relationships/image" Target="media/image78.jpeg"/><Relationship Id="rId96" Type="http://schemas.openxmlformats.org/officeDocument/2006/relationships/image" Target="media/image77.jpeg"/><Relationship Id="rId95" Type="http://schemas.openxmlformats.org/officeDocument/2006/relationships/image" Target="media/image76.jpeg"/><Relationship Id="rId94" Type="http://schemas.openxmlformats.org/officeDocument/2006/relationships/image" Target="media/image75.jpeg"/><Relationship Id="rId93" Type="http://schemas.openxmlformats.org/officeDocument/2006/relationships/image" Target="media/image74.jpeg"/><Relationship Id="rId92" Type="http://schemas.openxmlformats.org/officeDocument/2006/relationships/image" Target="media/image73.jpeg"/><Relationship Id="rId91" Type="http://schemas.openxmlformats.org/officeDocument/2006/relationships/image" Target="media/image72.jpeg"/><Relationship Id="rId90" Type="http://schemas.openxmlformats.org/officeDocument/2006/relationships/image" Target="media/image71.jpeg"/><Relationship Id="rId9" Type="http://schemas.openxmlformats.org/officeDocument/2006/relationships/footer" Target="footer5.xml"/><Relationship Id="rId89" Type="http://schemas.openxmlformats.org/officeDocument/2006/relationships/image" Target="media/image70.jpeg"/><Relationship Id="rId88" Type="http://schemas.openxmlformats.org/officeDocument/2006/relationships/image" Target="media/image69.jpeg"/><Relationship Id="rId87" Type="http://schemas.openxmlformats.org/officeDocument/2006/relationships/image" Target="media/image68.jpeg"/><Relationship Id="rId86" Type="http://schemas.openxmlformats.org/officeDocument/2006/relationships/image" Target="media/image67.jpeg"/><Relationship Id="rId85" Type="http://schemas.openxmlformats.org/officeDocument/2006/relationships/image" Target="media/image66.jpeg"/><Relationship Id="rId84" Type="http://schemas.openxmlformats.org/officeDocument/2006/relationships/image" Target="media/image65.jpeg"/><Relationship Id="rId83" Type="http://schemas.openxmlformats.org/officeDocument/2006/relationships/image" Target="media/image64.jpeg"/><Relationship Id="rId82" Type="http://schemas.openxmlformats.org/officeDocument/2006/relationships/image" Target="media/image63.jpeg"/><Relationship Id="rId81" Type="http://schemas.openxmlformats.org/officeDocument/2006/relationships/image" Target="media/image62.jpeg"/><Relationship Id="rId80" Type="http://schemas.openxmlformats.org/officeDocument/2006/relationships/image" Target="media/image61.jpeg"/><Relationship Id="rId8" Type="http://schemas.openxmlformats.org/officeDocument/2006/relationships/footer" Target="footer4.xml"/><Relationship Id="rId79" Type="http://schemas.openxmlformats.org/officeDocument/2006/relationships/image" Target="media/image60.jpeg"/><Relationship Id="rId78" Type="http://schemas.openxmlformats.org/officeDocument/2006/relationships/image" Target="media/image59.jpeg"/><Relationship Id="rId77" Type="http://schemas.openxmlformats.org/officeDocument/2006/relationships/image" Target="media/image58.jpeg"/><Relationship Id="rId76" Type="http://schemas.openxmlformats.org/officeDocument/2006/relationships/image" Target="media/image57.jpeg"/><Relationship Id="rId75" Type="http://schemas.openxmlformats.org/officeDocument/2006/relationships/image" Target="media/image56.jpeg"/><Relationship Id="rId74" Type="http://schemas.openxmlformats.org/officeDocument/2006/relationships/image" Target="media/image55.jpeg"/><Relationship Id="rId73" Type="http://schemas.openxmlformats.org/officeDocument/2006/relationships/image" Target="media/image54.jpeg"/><Relationship Id="rId72" Type="http://schemas.openxmlformats.org/officeDocument/2006/relationships/image" Target="media/image53.jpeg"/><Relationship Id="rId71" Type="http://schemas.openxmlformats.org/officeDocument/2006/relationships/image" Target="media/image52.jpeg"/><Relationship Id="rId70" Type="http://schemas.openxmlformats.org/officeDocument/2006/relationships/image" Target="media/image51.jpeg"/><Relationship Id="rId7" Type="http://schemas.openxmlformats.org/officeDocument/2006/relationships/footer" Target="footer3.xml"/><Relationship Id="rId69" Type="http://schemas.openxmlformats.org/officeDocument/2006/relationships/image" Target="media/image50.jpeg"/><Relationship Id="rId68" Type="http://schemas.openxmlformats.org/officeDocument/2006/relationships/image" Target="media/image49.jpeg"/><Relationship Id="rId67" Type="http://schemas.openxmlformats.org/officeDocument/2006/relationships/image" Target="media/image48.jpeg"/><Relationship Id="rId66" Type="http://schemas.openxmlformats.org/officeDocument/2006/relationships/image" Target="media/image47.jpeg"/><Relationship Id="rId65" Type="http://schemas.openxmlformats.org/officeDocument/2006/relationships/image" Target="media/image46.jpe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header" Target="header2.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jpeg"/><Relationship Id="rId53" Type="http://schemas.openxmlformats.org/officeDocument/2006/relationships/image" Target="media/image34.jpe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footer" Target="footer2.xml"/><Relationship Id="rId49" Type="http://schemas.openxmlformats.org/officeDocument/2006/relationships/image" Target="media/image30.pn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1.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emf"/><Relationship Id="rId31" Type="http://schemas.openxmlformats.org/officeDocument/2006/relationships/oleObject" Target="embeddings/oleObject3.bin"/><Relationship Id="rId30" Type="http://schemas.openxmlformats.org/officeDocument/2006/relationships/image" Target="media/image12.emf"/><Relationship Id="rId3" Type="http://schemas.openxmlformats.org/officeDocument/2006/relationships/header" Target="header1.xml"/><Relationship Id="rId29" Type="http://schemas.openxmlformats.org/officeDocument/2006/relationships/oleObject" Target="embeddings/oleObject2.bin"/><Relationship Id="rId28" Type="http://schemas.openxmlformats.org/officeDocument/2006/relationships/image" Target="media/image11.emf"/><Relationship Id="rId27" Type="http://schemas.openxmlformats.org/officeDocument/2006/relationships/oleObject" Target="embeddings/oleObject1.bin"/><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1" Type="http://schemas.openxmlformats.org/officeDocument/2006/relationships/fontTable" Target="fontTable.xml"/><Relationship Id="rId110" Type="http://schemas.openxmlformats.org/officeDocument/2006/relationships/customXml" Target="../customXml/item1.xml"/><Relationship Id="rId11" Type="http://schemas.openxmlformats.org/officeDocument/2006/relationships/footer" Target="footer7.xml"/><Relationship Id="rId109" Type="http://schemas.openxmlformats.org/officeDocument/2006/relationships/image" Target="media/image90.jpeg"/><Relationship Id="rId108" Type="http://schemas.openxmlformats.org/officeDocument/2006/relationships/image" Target="media/image89.jpeg"/><Relationship Id="rId107" Type="http://schemas.openxmlformats.org/officeDocument/2006/relationships/image" Target="media/image88.jpeg"/><Relationship Id="rId106" Type="http://schemas.openxmlformats.org/officeDocument/2006/relationships/image" Target="media/image87.jpeg"/><Relationship Id="rId105" Type="http://schemas.openxmlformats.org/officeDocument/2006/relationships/image" Target="media/image86.jpeg"/><Relationship Id="rId104" Type="http://schemas.openxmlformats.org/officeDocument/2006/relationships/image" Target="media/image85.jpeg"/><Relationship Id="rId103" Type="http://schemas.openxmlformats.org/officeDocument/2006/relationships/image" Target="media/image84.jpeg"/><Relationship Id="rId102" Type="http://schemas.openxmlformats.org/officeDocument/2006/relationships/image" Target="media/image83.jpeg"/><Relationship Id="rId101" Type="http://schemas.openxmlformats.org/officeDocument/2006/relationships/image" Target="media/image82.jpeg"/><Relationship Id="rId100" Type="http://schemas.openxmlformats.org/officeDocument/2006/relationships/image" Target="media/image81.jpe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2049"/>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129</Pages>
  <Words>33711</Words>
  <Characters>39893</Characters>
  <Lines>1365</Lines>
  <Paragraphs>1374</Paragraphs>
  <TotalTime>3</TotalTime>
  <ScaleCrop>false</ScaleCrop>
  <LinksUpToDate>false</LinksUpToDate>
  <CharactersWithSpaces>40370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2021-05-15T09:43:00Z</dcterms:created>
  <dc:creator>lhj</dc:creator>
  <cp:lastModifiedBy>Madman</cp:lastModifiedBy>
  <cp:lastPrinted>2021-04-26T02:52:00Z</cp:lastPrinted>
  <dcterms:modified xsi:type="dcterms:W3CDTF">2025-01-15T03:52:57Z</dcterms:modified>
  <dc:title>附件2</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2020-09-11T00:00:00Z</vt:filetime>
  </property>
  <property fmtid="{D5CDD505-2E9C-101B-9397-08002B2CF9AE}" pid="3" name="Creator">
    <vt:lpwstr>WPS 文字</vt:lpwstr>
  </property>
  <property fmtid="{D5CDD505-2E9C-101B-9397-08002B2CF9AE}" pid="4" name="LastSaved">
    <vt:filetime>2021-01-26T00:00:00Z</vt:filetime>
  </property>
  <property fmtid="{D5CDD505-2E9C-101B-9397-08002B2CF9AE}" pid="5" name="KSOProductBuildVer">
    <vt:lpwstr>2052-12.1.0.19770</vt:lpwstr>
  </property>
  <property fmtid="{D5CDD505-2E9C-101B-9397-08002B2CF9AE}" pid="6" name="ICV">
    <vt:lpwstr>F91A6F2D1A274CFAB74A65B12A496EEA</vt:lpwstr>
  </property>
  <property fmtid="{D5CDD505-2E9C-101B-9397-08002B2CF9AE}" pid="7" name="KSOTemplateDocerSaveRecord">
    <vt:lpwstr>eyJoZGlkIjoiZmZlZTJmYTBhODY1ZmI2NDI2MmQxNDBhOTJjYjU2MDIiLCJ1c2VySWQiOiIyNjY4OTA3ODcifQ==</vt:lpwstr>
  </property>
</Properties>
</file>