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sz w:val="32"/>
          <w:szCs w:val="32"/>
        </w:rPr>
      </w:pPr>
      <w:r>
        <w:rPr>
          <w:rFonts w:hint="eastAsia" w:ascii="宋体" w:hAnsi="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s="宋体"/>
          <w:sz w:val="32"/>
          <w:szCs w:val="32"/>
        </w:rPr>
      </w:pPr>
      <w:r>
        <w:rPr>
          <w:rFonts w:hint="eastAsia" w:ascii="宋体" w:hAnsi="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宋体" w:hAnsi="宋体" w:cs="宋体"/>
          <w:sz w:val="32"/>
          <w:szCs w:val="32"/>
        </w:rPr>
      </w:pPr>
      <w:r>
        <w:rPr>
          <w:rFonts w:hint="eastAsia" w:ascii="宋体" w:hAnsi="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宋体" w:hAnsi="宋体" w:cs="宋体"/>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hint="eastAsia" w:ascii="宋体" w:hAnsi="宋体" w:cs="宋体"/>
          <w:sz w:val="32"/>
          <w:szCs w:val="32"/>
        </w:rPr>
      </w:pPr>
      <w:r>
        <w:rPr>
          <w:rFonts w:hint="eastAsia" w:ascii="宋体" w:hAnsi="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right"/>
        <w:textAlignment w:val="auto"/>
        <w:rPr>
          <w:rFonts w:ascii="宋体" w:hAnsi="宋体" w:cs="Times New Roman"/>
          <w:b/>
          <w:bCs/>
          <w:sz w:val="48"/>
          <w:szCs w:val="48"/>
        </w:rPr>
      </w:pPr>
      <w:r>
        <w:rPr>
          <w:rFonts w:hint="eastAsia" w:ascii="宋体" w:hAnsi="宋体" w:cs="宋体"/>
          <w:sz w:val="32"/>
          <w:szCs w:val="32"/>
        </w:rPr>
        <w:t>潞环建管函〔202</w:t>
      </w:r>
      <w:r>
        <w:rPr>
          <w:rFonts w:hint="eastAsia" w:ascii="宋体" w:hAnsi="宋体" w:cs="宋体"/>
          <w:sz w:val="32"/>
          <w:szCs w:val="32"/>
          <w:lang w:val="en-US" w:eastAsia="zh-CN"/>
        </w:rPr>
        <w:t>5</w:t>
      </w:r>
      <w:r>
        <w:rPr>
          <w:rFonts w:hint="eastAsia" w:ascii="宋体" w:hAnsi="宋体" w:cs="宋体"/>
          <w:sz w:val="32"/>
          <w:szCs w:val="32"/>
        </w:rPr>
        <w:t>〕</w:t>
      </w:r>
      <w:r>
        <w:rPr>
          <w:rFonts w:hint="eastAsia" w:ascii="宋体" w:hAnsi="宋体" w:cs="宋体"/>
          <w:sz w:val="32"/>
          <w:szCs w:val="32"/>
          <w:lang w:val="en-US" w:eastAsia="zh-CN"/>
        </w:rPr>
        <w:t>2</w:t>
      </w:r>
      <w:bookmarkStart w:id="0" w:name="_GoBack"/>
      <w:bookmarkEnd w:id="0"/>
      <w:r>
        <w:rPr>
          <w:rFonts w:hint="eastAsia" w:ascii="宋体" w:hAnsi="宋体" w:cs="宋体"/>
          <w:sz w:val="32"/>
          <w:szCs w:val="32"/>
        </w:rPr>
        <w:t>号</w:t>
      </w:r>
    </w:p>
    <w:p>
      <w:pPr>
        <w:bidi w:val="0"/>
        <w:rPr>
          <w:rFonts w:hint="eastAsia" w:asciiTheme="minorHAnsi" w:hAnsiTheme="minorHAnsi" w:eastAsiaTheme="minorEastAsia" w:cstheme="minorBidi"/>
          <w:sz w:val="44"/>
          <w:szCs w:val="48"/>
        </w:rPr>
      </w:pPr>
    </w:p>
    <w:p>
      <w:pPr>
        <w:keepNext w:val="0"/>
        <w:keepLines w:val="0"/>
        <w:pageBreakBefore w:val="0"/>
        <w:widowControl w:val="0"/>
        <w:kinsoku/>
        <w:wordWrap/>
        <w:overflowPunct/>
        <w:topLinePunct w:val="0"/>
        <w:autoSpaceDE/>
        <w:autoSpaceDN/>
        <w:bidi w:val="0"/>
        <w:adjustRightInd/>
        <w:snapToGrid/>
        <w:spacing w:line="660" w:lineRule="exact"/>
        <w:ind w:left="880" w:right="0" w:hanging="883" w:hangingChars="200"/>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关于“</w:t>
      </w:r>
      <w:r>
        <w:rPr>
          <w:rFonts w:hint="eastAsia" w:asciiTheme="majorEastAsia" w:hAnsiTheme="majorEastAsia" w:eastAsiaTheme="majorEastAsia" w:cstheme="majorEastAsia"/>
          <w:b/>
          <w:bCs w:val="0"/>
          <w:sz w:val="44"/>
          <w:szCs w:val="44"/>
          <w:lang w:eastAsia="zh-CN"/>
        </w:rPr>
        <w:t>山西北方通达管业有限公司</w:t>
      </w:r>
      <w:r>
        <w:rPr>
          <w:rFonts w:hint="eastAsia" w:asciiTheme="majorEastAsia" w:hAnsiTheme="majorEastAsia" w:eastAsiaTheme="majorEastAsia" w:cstheme="majorEastAsia"/>
          <w:b/>
          <w:bCs w:val="0"/>
          <w:sz w:val="44"/>
          <w:szCs w:val="44"/>
          <w:lang w:val="en-US" w:eastAsia="zh-CN"/>
        </w:rPr>
        <w:t>管材、管件生产项目</w:t>
      </w:r>
      <w:r>
        <w:rPr>
          <w:rFonts w:hint="eastAsia" w:asciiTheme="majorEastAsia" w:hAnsiTheme="majorEastAsia" w:eastAsiaTheme="majorEastAsia" w:cstheme="majorEastAsia"/>
          <w:b/>
          <w:bCs w:val="0"/>
          <w:sz w:val="44"/>
          <w:szCs w:val="44"/>
        </w:rPr>
        <w:t>”环境影响报告表的批复</w:t>
      </w:r>
    </w:p>
    <w:p>
      <w:pPr>
        <w:rPr>
          <w:rFonts w:hint="eastAsia" w:ascii="仿宋_GB2312" w:hAnsi="宋体" w:eastAsia="仿宋_GB2312" w:cs="黑体"/>
          <w:b w:val="0"/>
          <w:bCs/>
          <w:spacing w:val="-14"/>
          <w:sz w:val="32"/>
          <w:szCs w:val="32"/>
        </w:rPr>
      </w:pPr>
    </w:p>
    <w:p>
      <w:pPr>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lang w:eastAsia="zh-CN"/>
        </w:rPr>
        <w:t>山西北方通达管业有限公司</w:t>
      </w:r>
      <w:r>
        <w:rPr>
          <w:rFonts w:hint="eastAsia" w:ascii="仿宋" w:hAnsi="仿宋" w:eastAsia="仿宋" w:cs="仿宋"/>
          <w:b w:val="0"/>
          <w:bCs/>
          <w:spacing w:val="-14"/>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你公司报送的《关于“</w:t>
      </w:r>
      <w:r>
        <w:rPr>
          <w:rFonts w:hint="eastAsia" w:ascii="仿宋" w:hAnsi="仿宋" w:eastAsia="仿宋" w:cs="仿宋"/>
          <w:b w:val="0"/>
          <w:bCs/>
          <w:spacing w:val="-14"/>
          <w:sz w:val="32"/>
          <w:szCs w:val="32"/>
          <w:lang w:eastAsia="zh-CN"/>
        </w:rPr>
        <w:t>山西北方通达管业有限公司</w:t>
      </w:r>
      <w:r>
        <w:rPr>
          <w:rFonts w:hint="eastAsia" w:ascii="仿宋" w:hAnsi="仿宋" w:eastAsia="仿宋" w:cs="仿宋"/>
          <w:b w:val="0"/>
          <w:bCs/>
          <w:spacing w:val="-14"/>
          <w:sz w:val="32"/>
          <w:szCs w:val="32"/>
          <w:lang w:val="en-US" w:eastAsia="zh-CN"/>
        </w:rPr>
        <w:t>管材、管件生产项目</w:t>
      </w:r>
      <w:r>
        <w:rPr>
          <w:rFonts w:hint="eastAsia" w:ascii="仿宋" w:hAnsi="仿宋" w:eastAsia="仿宋" w:cs="仿宋"/>
          <w:b w:val="0"/>
          <w:bCs/>
          <w:spacing w:val="-14"/>
          <w:sz w:val="32"/>
          <w:szCs w:val="32"/>
        </w:rPr>
        <w:t>”环境影响报告表》已收悉（以下简称报告表）。经研究,现批复如下：</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一、该项目位于</w:t>
      </w:r>
      <w:r>
        <w:rPr>
          <w:rFonts w:hint="eastAsia" w:ascii="仿宋" w:hAnsi="仿宋" w:eastAsia="仿宋" w:cs="仿宋"/>
          <w:b w:val="0"/>
          <w:bCs/>
          <w:spacing w:val="-14"/>
          <w:sz w:val="32"/>
          <w:szCs w:val="32"/>
          <w:lang w:val="en-US" w:eastAsia="zh-CN"/>
        </w:rPr>
        <w:t>潞城区甘林路</w:t>
      </w:r>
      <w:r>
        <w:rPr>
          <w:rFonts w:hint="eastAsia" w:ascii="仿宋" w:hAnsi="仿宋" w:eastAsia="仿宋" w:cs="仿宋"/>
          <w:b w:val="0"/>
          <w:bCs/>
          <w:spacing w:val="-14"/>
          <w:sz w:val="32"/>
          <w:szCs w:val="32"/>
        </w:rPr>
        <w:t>，占地面积为</w:t>
      </w:r>
      <w:r>
        <w:rPr>
          <w:rFonts w:hint="eastAsia" w:ascii="仿宋" w:hAnsi="仿宋" w:eastAsia="仿宋" w:cs="仿宋"/>
          <w:b w:val="0"/>
          <w:bCs/>
          <w:spacing w:val="-14"/>
          <w:sz w:val="32"/>
          <w:szCs w:val="32"/>
          <w:lang w:val="en-US" w:eastAsia="zh-CN"/>
        </w:rPr>
        <w:t>10000</w:t>
      </w:r>
      <w:r>
        <w:rPr>
          <w:rFonts w:hint="eastAsia" w:ascii="仿宋" w:hAnsi="仿宋" w:eastAsia="仿宋" w:cs="仿宋"/>
          <w:b w:val="0"/>
          <w:bCs/>
          <w:spacing w:val="-14"/>
          <w:sz w:val="32"/>
          <w:szCs w:val="32"/>
        </w:rPr>
        <w:t>平方米，</w:t>
      </w:r>
      <w:r>
        <w:rPr>
          <w:rFonts w:hint="eastAsia" w:ascii="仿宋" w:hAnsi="仿宋" w:eastAsia="仿宋" w:cs="仿宋"/>
          <w:b w:val="0"/>
          <w:bCs/>
          <w:spacing w:val="-11"/>
          <w:sz w:val="32"/>
          <w:szCs w:val="32"/>
        </w:rPr>
        <w:t>项目总投资</w:t>
      </w:r>
      <w:r>
        <w:rPr>
          <w:rFonts w:hint="eastAsia" w:ascii="仿宋" w:hAnsi="仿宋" w:eastAsia="仿宋" w:cs="仿宋"/>
          <w:b w:val="0"/>
          <w:bCs/>
          <w:spacing w:val="-11"/>
          <w:sz w:val="32"/>
          <w:szCs w:val="32"/>
          <w:lang w:val="en-US" w:eastAsia="zh-CN"/>
        </w:rPr>
        <w:t>8000</w:t>
      </w:r>
      <w:r>
        <w:rPr>
          <w:rFonts w:hint="eastAsia" w:ascii="仿宋" w:hAnsi="仿宋" w:eastAsia="仿宋" w:cs="仿宋"/>
          <w:b w:val="0"/>
          <w:bCs/>
          <w:spacing w:val="-11"/>
          <w:sz w:val="32"/>
          <w:szCs w:val="32"/>
        </w:rPr>
        <w:t>万元，其中环保投资为</w:t>
      </w:r>
      <w:r>
        <w:rPr>
          <w:rFonts w:hint="eastAsia" w:ascii="仿宋" w:hAnsi="仿宋" w:eastAsia="仿宋" w:cs="仿宋"/>
          <w:b w:val="0"/>
          <w:bCs/>
          <w:spacing w:val="-11"/>
          <w:sz w:val="32"/>
          <w:szCs w:val="32"/>
          <w:lang w:val="en-US" w:eastAsia="zh-CN"/>
        </w:rPr>
        <w:t>200</w:t>
      </w:r>
      <w:r>
        <w:rPr>
          <w:rFonts w:hint="eastAsia" w:ascii="仿宋" w:hAnsi="仿宋" w:eastAsia="仿宋" w:cs="仿宋"/>
          <w:b w:val="0"/>
          <w:bCs/>
          <w:spacing w:val="-11"/>
          <w:sz w:val="32"/>
          <w:szCs w:val="32"/>
        </w:rPr>
        <w:t>万元，占工程总投资的</w:t>
      </w:r>
      <w:r>
        <w:rPr>
          <w:rFonts w:hint="eastAsia" w:ascii="仿宋" w:hAnsi="仿宋" w:eastAsia="仿宋" w:cs="仿宋"/>
          <w:b w:val="0"/>
          <w:bCs/>
          <w:spacing w:val="-14"/>
          <w:sz w:val="32"/>
          <w:szCs w:val="32"/>
          <w:lang w:val="en-US" w:eastAsia="zh-CN"/>
        </w:rPr>
        <w:t>2.5</w:t>
      </w:r>
      <w:r>
        <w:rPr>
          <w:rFonts w:hint="eastAsia" w:ascii="仿宋" w:hAnsi="仿宋" w:eastAsia="仿宋" w:cs="仿宋"/>
          <w:b w:val="0"/>
          <w:bCs/>
          <w:spacing w:val="-14"/>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二、在落实环境影响报告表提出的各项环境保护措施要求的前提下，综合考虑各方面的因素，从环境保护角度分析，我局同意该项目建设。</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三、在项目建设与运行过程中，必须对照《报告表》逐一落实各项环保对策措施，重点做好以下工作：</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jc w:val="both"/>
        <w:textAlignment w:val="auto"/>
        <w:rPr>
          <w:rFonts w:hint="eastAsia" w:ascii="仿宋" w:hAnsi="仿宋" w:eastAsia="仿宋" w:cs="仿宋"/>
          <w:b w:val="0"/>
          <w:bCs/>
          <w:spacing w:val="-14"/>
          <w:sz w:val="32"/>
          <w:szCs w:val="32"/>
          <w:lang w:val="en-US" w:eastAsia="zh-CN"/>
        </w:rPr>
      </w:pPr>
      <w:r>
        <w:rPr>
          <w:rFonts w:hint="eastAsia" w:ascii="仿宋" w:hAnsi="仿宋" w:eastAsia="仿宋" w:cs="仿宋"/>
          <w:b w:val="0"/>
          <w:bCs/>
          <w:spacing w:val="-14"/>
          <w:sz w:val="32"/>
          <w:szCs w:val="32"/>
        </w:rPr>
        <w:t>1、</w:t>
      </w:r>
      <w:r>
        <w:rPr>
          <w:rFonts w:hint="eastAsia" w:ascii="仿宋" w:hAnsi="仿宋" w:eastAsia="仿宋" w:cs="仿宋"/>
          <w:b w:val="0"/>
          <w:bCs/>
          <w:spacing w:val="-14"/>
          <w:sz w:val="32"/>
          <w:szCs w:val="32"/>
          <w:lang w:val="en-US" w:eastAsia="zh-CN"/>
        </w:rPr>
        <w:t>螺旋钢管生产线产生的切割粉尘、补焊废气经移动式集气臂收集至同一套滤筒除尘器处理，与经焊烟净化器处理后焊接烟尘一同达标排放。</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jc w:val="both"/>
        <w:textAlignment w:val="auto"/>
        <w:rPr>
          <w:rFonts w:hint="eastAsia" w:ascii="仿宋" w:hAnsi="仿宋" w:eastAsia="仿宋" w:cs="仿宋"/>
          <w:b w:val="0"/>
          <w:bCs/>
          <w:spacing w:val="-14"/>
          <w:sz w:val="32"/>
          <w:szCs w:val="32"/>
          <w:lang w:val="en-US" w:eastAsia="zh-CN"/>
        </w:rPr>
      </w:pPr>
      <w:r>
        <w:rPr>
          <w:rFonts w:hint="eastAsia" w:ascii="仿宋" w:hAnsi="仿宋" w:eastAsia="仿宋" w:cs="仿宋"/>
          <w:b w:val="0"/>
          <w:bCs/>
          <w:spacing w:val="-14"/>
          <w:sz w:val="32"/>
          <w:szCs w:val="32"/>
          <w:lang w:val="en-US" w:eastAsia="zh-CN"/>
        </w:rPr>
        <w:t>不锈钢管材管件生产线产生的切割、抛光废气经同一套滤筒除尘器处理后，与经焊烟净化器处理的焊接、补焊工序废气一同达标排放。</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84" w:firstLineChars="200"/>
        <w:jc w:val="both"/>
        <w:textAlignment w:val="auto"/>
        <w:rPr>
          <w:rFonts w:hint="eastAsia" w:ascii="仿宋" w:hAnsi="仿宋" w:eastAsia="仿宋" w:cs="仿宋"/>
          <w:b w:val="0"/>
          <w:bCs/>
          <w:spacing w:val="-14"/>
          <w:sz w:val="32"/>
          <w:szCs w:val="32"/>
          <w:lang w:val="en-US" w:eastAsia="zh-CN"/>
        </w:rPr>
      </w:pPr>
      <w:r>
        <w:rPr>
          <w:rFonts w:hint="eastAsia" w:ascii="仿宋" w:hAnsi="仿宋" w:eastAsia="仿宋" w:cs="仿宋"/>
          <w:b w:val="0"/>
          <w:bCs/>
          <w:spacing w:val="-14"/>
          <w:sz w:val="32"/>
          <w:szCs w:val="32"/>
          <w:lang w:val="en-US" w:eastAsia="zh-CN"/>
        </w:rPr>
        <w:t>生活污水排入化粪池，定期清掏；水压测试工序水循环使用，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spacing w:val="-14"/>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spacing w:val="-14"/>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spacing w:val="-14"/>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spacing w:val="-14"/>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spacing w:val="-14"/>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lang w:eastAsia="zh-CN"/>
        </w:rPr>
        <w:t>不得外排</w:t>
      </w:r>
      <w:r>
        <w:rPr>
          <w:rFonts w:hint="eastAsia" w:ascii="仿宋" w:hAnsi="仿宋" w:eastAsia="仿宋" w:cs="仿宋"/>
          <w:b w:val="0"/>
          <w:bCs/>
          <w:spacing w:val="-14"/>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spacing w:val="-14"/>
          <w:sz w:val="32"/>
          <w:szCs w:val="32"/>
          <w:lang w:val="en-US" w:eastAsia="zh-CN"/>
        </w:rPr>
      </w:pPr>
      <w:r>
        <w:rPr>
          <w:rFonts w:hint="eastAsia" w:ascii="仿宋" w:hAnsi="仿宋" w:eastAsia="仿宋" w:cs="仿宋"/>
          <w:b w:val="0"/>
          <w:bCs/>
          <w:spacing w:val="-14"/>
          <w:sz w:val="32"/>
          <w:szCs w:val="32"/>
          <w:lang w:val="en-US" w:eastAsia="zh-CN"/>
        </w:rPr>
        <w:t xml:space="preserve">    3、</w:t>
      </w:r>
      <w:r>
        <w:rPr>
          <w:rFonts w:hint="eastAsia" w:ascii="仿宋" w:hAnsi="仿宋" w:eastAsia="仿宋" w:cs="仿宋"/>
          <w:b w:val="0"/>
          <w:bCs/>
          <w:spacing w:val="-14"/>
          <w:sz w:val="32"/>
          <w:szCs w:val="32"/>
        </w:rPr>
        <w:t>落实固体废物防治措施。</w:t>
      </w:r>
      <w:r>
        <w:rPr>
          <w:rFonts w:hint="eastAsia" w:ascii="仿宋" w:hAnsi="仿宋" w:eastAsia="仿宋" w:cs="仿宋"/>
          <w:b w:val="0"/>
          <w:bCs/>
          <w:spacing w:val="-14"/>
          <w:sz w:val="32"/>
          <w:szCs w:val="32"/>
          <w:lang w:eastAsia="zh-CN"/>
        </w:rPr>
        <w:t>除尘器除尘灰、</w:t>
      </w:r>
      <w:r>
        <w:rPr>
          <w:rFonts w:hint="eastAsia" w:ascii="仿宋" w:hAnsi="仿宋" w:eastAsia="仿宋" w:cs="仿宋"/>
          <w:b w:val="0"/>
          <w:bCs/>
          <w:spacing w:val="-14"/>
          <w:sz w:val="32"/>
          <w:szCs w:val="32"/>
          <w:lang w:val="en-US" w:eastAsia="zh-CN"/>
        </w:rPr>
        <w:t>金属边角料</w:t>
      </w:r>
      <w:r>
        <w:rPr>
          <w:rFonts w:hint="eastAsia" w:ascii="仿宋" w:hAnsi="仿宋" w:eastAsia="仿宋" w:cs="仿宋"/>
          <w:b w:val="0"/>
          <w:bCs/>
          <w:spacing w:val="-14"/>
          <w:sz w:val="32"/>
          <w:szCs w:val="32"/>
          <w:lang w:eastAsia="zh-CN"/>
        </w:rPr>
        <w:t>：收集</w:t>
      </w:r>
      <w:r>
        <w:rPr>
          <w:rFonts w:hint="eastAsia" w:ascii="仿宋" w:hAnsi="仿宋" w:eastAsia="仿宋" w:cs="仿宋"/>
          <w:b w:val="0"/>
          <w:bCs/>
          <w:spacing w:val="-14"/>
          <w:sz w:val="32"/>
          <w:szCs w:val="32"/>
          <w:lang w:val="en-US" w:eastAsia="zh-CN"/>
        </w:rPr>
        <w:t>后外售至废品回收站；</w:t>
      </w:r>
      <w:r>
        <w:rPr>
          <w:rFonts w:hint="eastAsia" w:ascii="仿宋" w:hAnsi="仿宋" w:eastAsia="仿宋" w:cs="仿宋"/>
          <w:b w:val="0"/>
          <w:bCs/>
          <w:spacing w:val="-14"/>
          <w:sz w:val="32"/>
          <w:szCs w:val="32"/>
        </w:rPr>
        <w:t>生产</w:t>
      </w:r>
      <w:r>
        <w:rPr>
          <w:rFonts w:hint="eastAsia" w:ascii="仿宋" w:hAnsi="仿宋" w:eastAsia="仿宋" w:cs="仿宋"/>
          <w:b w:val="0"/>
          <w:bCs/>
          <w:spacing w:val="-14"/>
          <w:sz w:val="32"/>
          <w:szCs w:val="32"/>
          <w:lang w:val="en-US" w:eastAsia="zh-CN"/>
        </w:rPr>
        <w:t>和维修</w:t>
      </w:r>
      <w:r>
        <w:rPr>
          <w:rFonts w:hint="eastAsia" w:ascii="仿宋" w:hAnsi="仿宋" w:eastAsia="仿宋" w:cs="仿宋"/>
          <w:b w:val="0"/>
          <w:bCs/>
          <w:spacing w:val="-14"/>
          <w:sz w:val="32"/>
          <w:szCs w:val="32"/>
        </w:rPr>
        <w:t>过程中产生的</w:t>
      </w:r>
      <w:r>
        <w:rPr>
          <w:rFonts w:hint="eastAsia" w:ascii="仿宋" w:hAnsi="仿宋" w:eastAsia="仿宋" w:cs="仿宋"/>
          <w:b w:val="0"/>
          <w:bCs/>
          <w:spacing w:val="-14"/>
          <w:sz w:val="32"/>
          <w:szCs w:val="32"/>
          <w:lang w:val="en-US" w:eastAsia="zh-CN"/>
        </w:rPr>
        <w:t>废桶、废矿物油：暂存于危废贮存库，定期委托有危险废物处置资质的单位进行处理。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4、选购低噪声设备，对各类产噪采用相应的基础减震等消声降噪措施，确保噪声满足相关环境标准限制要求。</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四、项目实施必须严格执行配套建设的环境保护设施与主体工程同时设计、同时施工、同时投产使用的环境保护“三同时”制度。项目建成后要按规定程序实施竣工环境保护验收。</w:t>
      </w:r>
    </w:p>
    <w:p>
      <w:pPr>
        <w:keepNext w:val="0"/>
        <w:keepLines w:val="0"/>
        <w:pageBreakBefore w:val="0"/>
        <w:widowControl w:val="0"/>
        <w:kinsoku/>
        <w:wordWrap/>
        <w:overflowPunct/>
        <w:topLinePunct w:val="0"/>
        <w:autoSpaceDE/>
        <w:autoSpaceDN/>
        <w:bidi w:val="0"/>
        <w:adjustRightInd/>
        <w:snapToGrid/>
        <w:spacing w:line="50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五、你公司应在收到本批复后10个工作日内，将批准后的环评报告表及批复送至长治市生态环境保护综合行政执法队四大队，并按照规定接受各级环境保护行政主管部门的日常监督检查。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spacing w:val="-1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380" w:firstLineChars="15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长治市生态环境局潞城分局</w:t>
      </w:r>
    </w:p>
    <w:p>
      <w:pPr>
        <w:keepNext w:val="0"/>
        <w:keepLines w:val="0"/>
        <w:pageBreakBefore w:val="0"/>
        <w:widowControl w:val="0"/>
        <w:kinsoku/>
        <w:wordWrap/>
        <w:overflowPunct/>
        <w:topLinePunct w:val="0"/>
        <w:autoSpaceDE/>
        <w:autoSpaceDN/>
        <w:bidi w:val="0"/>
        <w:adjustRightInd/>
        <w:snapToGrid/>
        <w:spacing w:line="540" w:lineRule="exact"/>
        <w:ind w:firstLine="584" w:firstLineChars="200"/>
        <w:textAlignment w:val="auto"/>
        <w:rPr>
          <w:rFonts w:hint="eastAsia" w:ascii="仿宋" w:hAnsi="仿宋" w:eastAsia="仿宋" w:cs="仿宋"/>
          <w:b w:val="0"/>
          <w:bCs/>
          <w:spacing w:val="-14"/>
          <w:sz w:val="32"/>
          <w:szCs w:val="32"/>
        </w:rPr>
      </w:pPr>
      <w:r>
        <w:rPr>
          <w:rFonts w:hint="eastAsia" w:ascii="仿宋" w:hAnsi="仿宋" w:eastAsia="仿宋" w:cs="仿宋"/>
          <w:b w:val="0"/>
          <w:bCs/>
          <w:spacing w:val="-14"/>
          <w:sz w:val="32"/>
          <w:szCs w:val="32"/>
        </w:rPr>
        <w:t xml:space="preserve">                               </w:t>
      </w:r>
      <w:r>
        <w:rPr>
          <w:rFonts w:hint="eastAsia" w:ascii="仿宋" w:hAnsi="仿宋" w:eastAsia="仿宋" w:cs="仿宋"/>
          <w:b w:val="0"/>
          <w:bCs/>
          <w:spacing w:val="-14"/>
          <w:sz w:val="32"/>
          <w:szCs w:val="32"/>
          <w:lang w:val="en-US" w:eastAsia="zh-CN"/>
        </w:rPr>
        <w:t xml:space="preserve">  </w:t>
      </w:r>
      <w:r>
        <w:rPr>
          <w:rFonts w:hint="eastAsia" w:ascii="仿宋" w:hAnsi="仿宋" w:eastAsia="仿宋" w:cs="仿宋"/>
          <w:b w:val="0"/>
          <w:bCs/>
          <w:spacing w:val="-14"/>
          <w:sz w:val="32"/>
          <w:szCs w:val="32"/>
        </w:rPr>
        <w:t>202</w:t>
      </w:r>
      <w:r>
        <w:rPr>
          <w:rFonts w:hint="eastAsia" w:ascii="仿宋" w:hAnsi="仿宋" w:eastAsia="仿宋" w:cs="仿宋"/>
          <w:b w:val="0"/>
          <w:bCs/>
          <w:spacing w:val="-14"/>
          <w:sz w:val="32"/>
          <w:szCs w:val="32"/>
          <w:lang w:val="en-US" w:eastAsia="zh-CN"/>
        </w:rPr>
        <w:t>5</w:t>
      </w:r>
      <w:r>
        <w:rPr>
          <w:rFonts w:hint="eastAsia" w:ascii="仿宋" w:hAnsi="仿宋" w:eastAsia="仿宋" w:cs="仿宋"/>
          <w:b w:val="0"/>
          <w:bCs/>
          <w:spacing w:val="-14"/>
          <w:sz w:val="32"/>
          <w:szCs w:val="32"/>
        </w:rPr>
        <w:t>年</w:t>
      </w:r>
      <w:r>
        <w:rPr>
          <w:rFonts w:hint="eastAsia" w:ascii="仿宋" w:hAnsi="仿宋" w:eastAsia="仿宋" w:cs="仿宋"/>
          <w:b w:val="0"/>
          <w:bCs/>
          <w:spacing w:val="-14"/>
          <w:sz w:val="32"/>
          <w:szCs w:val="32"/>
          <w:lang w:val="en-US" w:eastAsia="zh-CN"/>
        </w:rPr>
        <w:t>1</w:t>
      </w:r>
      <w:r>
        <w:rPr>
          <w:rFonts w:hint="eastAsia" w:ascii="仿宋" w:hAnsi="仿宋" w:eastAsia="仿宋" w:cs="仿宋"/>
          <w:b w:val="0"/>
          <w:bCs/>
          <w:spacing w:val="-14"/>
          <w:sz w:val="32"/>
          <w:szCs w:val="32"/>
        </w:rPr>
        <w:t>月</w:t>
      </w:r>
      <w:r>
        <w:rPr>
          <w:rFonts w:hint="eastAsia" w:ascii="仿宋" w:hAnsi="仿宋" w:eastAsia="仿宋" w:cs="仿宋"/>
          <w:b w:val="0"/>
          <w:bCs/>
          <w:spacing w:val="-14"/>
          <w:sz w:val="32"/>
          <w:szCs w:val="32"/>
          <w:lang w:val="en-US" w:eastAsia="zh-CN"/>
        </w:rPr>
        <w:t>3</w:t>
      </w:r>
      <w:r>
        <w:rPr>
          <w:rFonts w:hint="eastAsia" w:ascii="仿宋" w:hAnsi="仿宋" w:eastAsia="仿宋" w:cs="仿宋"/>
          <w:b w:val="0"/>
          <w:bCs/>
          <w:spacing w:val="-14"/>
          <w:sz w:val="32"/>
          <w:szCs w:val="32"/>
        </w:rPr>
        <w:t>日</w:t>
      </w:r>
    </w:p>
    <w:p>
      <w:pPr/>
    </w:p>
    <w:p>
      <w:pPr/>
    </w:p>
    <w:sectPr>
      <w:pgSz w:w="12060" w:h="16820"/>
      <w:pgMar w:top="1440" w:right="1689" w:bottom="1440" w:left="168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decorative"/>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5088152">
    <w:nsid w:val="676B5818"/>
    <w:multiLevelType w:val="singleLevel"/>
    <w:tmpl w:val="676B5818"/>
    <w:lvl w:ilvl="0" w:tentative="1">
      <w:start w:val="2"/>
      <w:numFmt w:val="decimal"/>
      <w:suff w:val="nothing"/>
      <w:lvlText w:val="%1、"/>
      <w:lvlJc w:val="left"/>
    </w:lvl>
  </w:abstractNum>
  <w:num w:numId="1">
    <w:abstractNumId w:val="17350881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jZiMjEwNzVhZTM5ZDQxODBmOTFkMGVlYzBiMGMifQ=="/>
  </w:docVars>
  <w:rsids>
    <w:rsidRoot w:val="650342F7"/>
    <w:rsid w:val="06A27213"/>
    <w:rsid w:val="0A9325EB"/>
    <w:rsid w:val="11314BEA"/>
    <w:rsid w:val="1B5622D6"/>
    <w:rsid w:val="1CA1608E"/>
    <w:rsid w:val="1FAB2478"/>
    <w:rsid w:val="27831272"/>
    <w:rsid w:val="2912250A"/>
    <w:rsid w:val="298E145C"/>
    <w:rsid w:val="2AE61A71"/>
    <w:rsid w:val="2F963E76"/>
    <w:rsid w:val="31033E1E"/>
    <w:rsid w:val="32223D2A"/>
    <w:rsid w:val="385F4C82"/>
    <w:rsid w:val="3A8E66C1"/>
    <w:rsid w:val="41E95F17"/>
    <w:rsid w:val="47943E10"/>
    <w:rsid w:val="4DCC044A"/>
    <w:rsid w:val="554A70A8"/>
    <w:rsid w:val="595026D2"/>
    <w:rsid w:val="626B2ADC"/>
    <w:rsid w:val="63CD425D"/>
    <w:rsid w:val="64A53A65"/>
    <w:rsid w:val="650342F7"/>
    <w:rsid w:val="6C014AC8"/>
    <w:rsid w:val="786B6CC5"/>
    <w:rsid w:val="79573104"/>
    <w:rsid w:val="7A7219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楷体_GB2312" w:hAnsi="Times New Roman" w:eastAsia="楷体_GB2312" w:cs="Times New Roman"/>
      <w:color w:val="000000"/>
      <w:sz w:val="24"/>
      <w:lang w:val="en-US" w:eastAsia="zh-CN" w:bidi="ar-SA"/>
    </w:rPr>
  </w:style>
  <w:style w:type="paragraph" w:customStyle="1" w:styleId="3">
    <w:name w:val="纯文本1"/>
    <w:basedOn w:val="1"/>
    <w:qFormat/>
    <w:uiPriority w:val="0"/>
    <w:pPr>
      <w:adjustRightInd w:val="0"/>
    </w:pPr>
    <w:rPr>
      <w:rFonts w:ascii="宋体" w:hAnsi="Courier New"/>
    </w:rPr>
  </w:style>
  <w:style w:type="paragraph" w:styleId="4">
    <w:name w:val="Plain Text"/>
    <w:basedOn w:val="1"/>
    <w:next w:val="1"/>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Courier New" w:eastAsia="宋体" w:cs="Times New Roman"/>
      <w:color w:val="auto"/>
      <w:kern w:val="2"/>
      <w:sz w:val="21"/>
      <w:szCs w:val="24"/>
      <w:lang w:val="en-US" w:eastAsia="zh-CN" w:bidi="ar-SA"/>
    </w:rPr>
  </w:style>
  <w:style w:type="paragraph" w:customStyle="1" w:styleId="7">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717</Words>
  <Characters>735</Characters>
  <Lines>0</Lines>
  <Paragraphs>0</Paragraphs>
  <ScaleCrop>false</ScaleCrop>
  <LinksUpToDate>false</LinksUpToDate>
  <CharactersWithSpaces>897</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2023-09-21T01:26:00Z</dcterms:created>
  <dc:creator>Myth</dc:creator>
  <cp:lastModifiedBy>Administrator</cp:lastModifiedBy>
  <cp:lastPrinted>2024-12-03T00:36:00Z</cp:lastPrinted>
  <dcterms:modified xsi:type="dcterms:W3CDTF">2025-01-03T01:04:31Z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822FED13EC594991AD181985F51D03A2_11</vt:lpwstr>
  </property>
</Properties>
</file>