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cs="宋体"/>
          <w:sz w:val="32"/>
          <w:szCs w:val="32"/>
        </w:rPr>
      </w:pPr>
      <w:r>
        <w:rPr>
          <w:rFonts w:hint="eastAsia" w:ascii="宋体" w:hAnsi="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s="宋体"/>
          <w:sz w:val="32"/>
          <w:szCs w:val="32"/>
        </w:rPr>
      </w:pPr>
      <w:bookmarkStart w:id="0" w:name="_GoBack"/>
      <w:bookmarkEnd w:id="0"/>
      <w:r>
        <w:rPr>
          <w:rFonts w:hint="eastAsia" w:ascii="宋体" w:hAnsi="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right"/>
        <w:textAlignment w:val="auto"/>
        <w:rPr>
          <w:rFonts w:hint="eastAsia" w:ascii="宋体" w:hAnsi="宋体" w:cs="宋体"/>
          <w:sz w:val="32"/>
          <w:szCs w:val="32"/>
        </w:rPr>
      </w:pPr>
      <w:r>
        <w:rPr>
          <w:rFonts w:hint="eastAsia" w:ascii="宋体" w:hAnsi="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right"/>
        <w:textAlignment w:val="auto"/>
        <w:rPr>
          <w:rFonts w:hint="eastAsia" w:ascii="宋体" w:hAnsi="宋体" w:cs="宋体"/>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right"/>
        <w:textAlignment w:val="auto"/>
        <w:rPr>
          <w:rFonts w:hint="eastAsia" w:ascii="宋体" w:hAnsi="宋体" w:cs="宋体"/>
          <w:sz w:val="32"/>
          <w:szCs w:val="32"/>
        </w:rPr>
      </w:pPr>
      <w:r>
        <w:rPr>
          <w:rFonts w:hint="eastAsia" w:ascii="宋体" w:hAnsi="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right"/>
        <w:textAlignment w:val="auto"/>
        <w:rPr>
          <w:rFonts w:ascii="宋体" w:hAnsi="宋体" w:cs="Times New Roman"/>
          <w:b/>
          <w:bCs/>
          <w:sz w:val="48"/>
          <w:szCs w:val="48"/>
        </w:rPr>
      </w:pPr>
      <w:r>
        <w:rPr>
          <w:rFonts w:hint="eastAsia" w:ascii="宋体" w:hAnsi="宋体" w:cs="宋体"/>
          <w:sz w:val="32"/>
          <w:szCs w:val="32"/>
        </w:rPr>
        <w:t>潞环建管函〔202</w:t>
      </w:r>
      <w:r>
        <w:rPr>
          <w:rFonts w:hint="eastAsia" w:ascii="宋体" w:hAnsi="宋体" w:cs="宋体"/>
          <w:sz w:val="32"/>
          <w:szCs w:val="32"/>
          <w:lang w:val="en-US" w:eastAsia="zh-CN"/>
        </w:rPr>
        <w:t>5</w:t>
      </w:r>
      <w:r>
        <w:rPr>
          <w:rFonts w:hint="eastAsia" w:ascii="宋体" w:hAnsi="宋体" w:cs="宋体"/>
          <w:sz w:val="32"/>
          <w:szCs w:val="32"/>
        </w:rPr>
        <w:t>〕</w:t>
      </w:r>
      <w:r>
        <w:rPr>
          <w:rFonts w:hint="eastAsia" w:ascii="宋体" w:hAnsi="宋体" w:cs="宋体"/>
          <w:sz w:val="32"/>
          <w:szCs w:val="32"/>
          <w:lang w:val="en-US" w:eastAsia="zh-CN"/>
        </w:rPr>
        <w:t>1</w:t>
      </w:r>
      <w:r>
        <w:rPr>
          <w:rFonts w:hint="eastAsia" w:ascii="宋体" w:hAnsi="宋体" w:cs="宋体"/>
          <w:sz w:val="32"/>
          <w:szCs w:val="32"/>
        </w:rPr>
        <w:t>号</w:t>
      </w:r>
    </w:p>
    <w:p>
      <w:pPr>
        <w:bidi w:val="0"/>
        <w:rPr>
          <w:rFonts w:hint="eastAsia" w:asciiTheme="minorHAnsi" w:hAnsiTheme="minorHAnsi" w:eastAsiaTheme="minorEastAsia" w:cstheme="minorBidi"/>
          <w:sz w:val="44"/>
          <w:szCs w:val="48"/>
        </w:rPr>
      </w:pPr>
    </w:p>
    <w:p>
      <w:pPr>
        <w:keepNext w:val="0"/>
        <w:keepLines w:val="0"/>
        <w:pageBreakBefore w:val="0"/>
        <w:widowControl w:val="0"/>
        <w:kinsoku/>
        <w:wordWrap/>
        <w:overflowPunct/>
        <w:topLinePunct w:val="0"/>
        <w:autoSpaceDE/>
        <w:autoSpaceDN/>
        <w:bidi w:val="0"/>
        <w:adjustRightInd/>
        <w:snapToGrid/>
        <w:spacing w:line="660" w:lineRule="exact"/>
        <w:ind w:left="880" w:right="0" w:hanging="883" w:hangingChars="200"/>
        <w:jc w:val="center"/>
        <w:textAlignment w:val="auto"/>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关于“</w:t>
      </w:r>
      <w:r>
        <w:rPr>
          <w:rFonts w:hint="eastAsia" w:asciiTheme="majorEastAsia" w:hAnsiTheme="majorEastAsia" w:eastAsiaTheme="majorEastAsia" w:cstheme="majorEastAsia"/>
          <w:b/>
          <w:bCs w:val="0"/>
          <w:sz w:val="44"/>
          <w:szCs w:val="44"/>
          <w:lang w:val="en-US" w:eastAsia="zh-CN"/>
        </w:rPr>
        <w:t>潞城区东明矿业露天采坑生态综合治理</w:t>
      </w:r>
      <w:r>
        <w:rPr>
          <w:rFonts w:hint="eastAsia" w:asciiTheme="majorEastAsia" w:hAnsiTheme="majorEastAsia" w:eastAsiaTheme="majorEastAsia" w:cstheme="majorEastAsia"/>
          <w:b/>
          <w:bCs w:val="0"/>
          <w:sz w:val="44"/>
          <w:szCs w:val="44"/>
        </w:rPr>
        <w:t>项目”环境影响报告表的批复</w:t>
      </w:r>
    </w:p>
    <w:p>
      <w:pPr>
        <w:rPr>
          <w:rFonts w:hint="eastAsia" w:ascii="仿宋_GB2312" w:hAnsi="宋体" w:eastAsia="仿宋_GB2312" w:cs="黑体"/>
          <w:b w:val="0"/>
          <w:bCs/>
          <w:spacing w:val="-14"/>
          <w:sz w:val="32"/>
          <w:szCs w:val="32"/>
        </w:rPr>
      </w:pPr>
    </w:p>
    <w:p>
      <w:pPr>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lang w:val="en-US" w:eastAsia="zh-CN"/>
        </w:rPr>
        <w:t>潞城市东明矿业</w:t>
      </w:r>
      <w:r>
        <w:rPr>
          <w:rFonts w:hint="eastAsia" w:ascii="仿宋" w:hAnsi="仿宋" w:eastAsia="仿宋" w:cs="仿宋"/>
          <w:b w:val="0"/>
          <w:bCs/>
          <w:spacing w:val="-14"/>
          <w:sz w:val="32"/>
          <w:szCs w:val="32"/>
          <w:lang w:eastAsia="zh-CN"/>
        </w:rPr>
        <w:t>有限公司</w:t>
      </w:r>
      <w:r>
        <w:rPr>
          <w:rFonts w:hint="eastAsia" w:ascii="仿宋" w:hAnsi="仿宋" w:eastAsia="仿宋" w:cs="仿宋"/>
          <w:b w:val="0"/>
          <w:bCs/>
          <w:spacing w:val="-14"/>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200"/>
        <w:textAlignment w:val="auto"/>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rPr>
        <w:t>你公司报送的《关于“</w:t>
      </w:r>
      <w:r>
        <w:rPr>
          <w:rFonts w:hint="eastAsia" w:ascii="仿宋" w:hAnsi="仿宋" w:eastAsia="仿宋" w:cs="仿宋"/>
          <w:b w:val="0"/>
          <w:bCs/>
          <w:spacing w:val="-14"/>
          <w:sz w:val="32"/>
          <w:szCs w:val="32"/>
          <w:lang w:val="en-US" w:eastAsia="zh-CN"/>
        </w:rPr>
        <w:t>潞城区东明矿业露天采坑生态综合治理</w:t>
      </w:r>
      <w:r>
        <w:rPr>
          <w:rFonts w:hint="eastAsia" w:ascii="仿宋" w:hAnsi="仿宋" w:eastAsia="仿宋" w:cs="仿宋"/>
          <w:b w:val="0"/>
          <w:bCs/>
          <w:spacing w:val="-14"/>
          <w:sz w:val="32"/>
          <w:szCs w:val="32"/>
        </w:rPr>
        <w:t>项目”环境影响报告表》已收悉（以下简称报告表）。经研究,现批复如下：</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200"/>
        <w:textAlignment w:val="auto"/>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rPr>
        <w:t>一、该项目位于</w:t>
      </w:r>
      <w:r>
        <w:rPr>
          <w:rFonts w:hint="eastAsia" w:ascii="仿宋" w:hAnsi="仿宋" w:eastAsia="仿宋" w:cs="仿宋"/>
          <w:b w:val="0"/>
          <w:bCs/>
          <w:spacing w:val="-14"/>
          <w:sz w:val="32"/>
          <w:szCs w:val="32"/>
          <w:lang w:val="en-US" w:eastAsia="zh-CN"/>
        </w:rPr>
        <w:t>长治市潞城区店上镇周武村</w:t>
      </w:r>
      <w:r>
        <w:rPr>
          <w:rFonts w:hint="eastAsia" w:ascii="仿宋" w:hAnsi="仿宋" w:eastAsia="仿宋" w:cs="仿宋"/>
          <w:b w:val="0"/>
          <w:bCs/>
          <w:spacing w:val="-14"/>
          <w:sz w:val="32"/>
          <w:szCs w:val="32"/>
        </w:rPr>
        <w:t>，占地面积为</w:t>
      </w:r>
      <w:r>
        <w:rPr>
          <w:rFonts w:hint="eastAsia" w:ascii="仿宋" w:hAnsi="仿宋" w:eastAsia="仿宋" w:cs="仿宋"/>
          <w:b w:val="0"/>
          <w:bCs/>
          <w:spacing w:val="-14"/>
          <w:sz w:val="32"/>
          <w:szCs w:val="32"/>
          <w:lang w:val="en-US" w:eastAsia="zh-CN"/>
        </w:rPr>
        <w:t>66268</w:t>
      </w:r>
      <w:r>
        <w:rPr>
          <w:rFonts w:hint="eastAsia" w:ascii="仿宋" w:hAnsi="仿宋" w:eastAsia="仿宋" w:cs="仿宋"/>
          <w:b w:val="0"/>
          <w:bCs/>
          <w:spacing w:val="-14"/>
          <w:sz w:val="32"/>
          <w:szCs w:val="32"/>
        </w:rPr>
        <w:t>平方米，</w:t>
      </w:r>
      <w:r>
        <w:rPr>
          <w:rFonts w:hint="eastAsia" w:ascii="仿宋" w:hAnsi="仿宋" w:eastAsia="仿宋" w:cs="仿宋"/>
          <w:b w:val="0"/>
          <w:bCs/>
          <w:spacing w:val="-11"/>
          <w:sz w:val="32"/>
          <w:szCs w:val="32"/>
        </w:rPr>
        <w:t>项目总投资</w:t>
      </w:r>
      <w:r>
        <w:rPr>
          <w:rFonts w:hint="eastAsia" w:ascii="仿宋" w:hAnsi="仿宋" w:eastAsia="仿宋" w:cs="仿宋"/>
          <w:b w:val="0"/>
          <w:bCs/>
          <w:spacing w:val="-11"/>
          <w:sz w:val="32"/>
          <w:szCs w:val="32"/>
          <w:lang w:val="en-US" w:eastAsia="zh-CN"/>
        </w:rPr>
        <w:t>2800</w:t>
      </w:r>
      <w:r>
        <w:rPr>
          <w:rFonts w:hint="eastAsia" w:ascii="仿宋" w:hAnsi="仿宋" w:eastAsia="仿宋" w:cs="仿宋"/>
          <w:b w:val="0"/>
          <w:bCs/>
          <w:spacing w:val="-11"/>
          <w:sz w:val="32"/>
          <w:szCs w:val="32"/>
        </w:rPr>
        <w:t>万元，其中环保投资为</w:t>
      </w:r>
      <w:r>
        <w:rPr>
          <w:rFonts w:hint="eastAsia" w:ascii="仿宋" w:hAnsi="仿宋" w:eastAsia="仿宋" w:cs="仿宋"/>
          <w:b w:val="0"/>
          <w:bCs/>
          <w:spacing w:val="-11"/>
          <w:sz w:val="32"/>
          <w:szCs w:val="32"/>
          <w:lang w:val="en-US" w:eastAsia="zh-CN"/>
        </w:rPr>
        <w:t>300</w:t>
      </w:r>
      <w:r>
        <w:rPr>
          <w:rFonts w:hint="eastAsia" w:ascii="仿宋" w:hAnsi="仿宋" w:eastAsia="仿宋" w:cs="仿宋"/>
          <w:b w:val="0"/>
          <w:bCs/>
          <w:spacing w:val="-11"/>
          <w:sz w:val="32"/>
          <w:szCs w:val="32"/>
        </w:rPr>
        <w:t>万元，占工程总投资的</w:t>
      </w:r>
      <w:r>
        <w:rPr>
          <w:rFonts w:hint="eastAsia" w:ascii="仿宋" w:hAnsi="仿宋" w:eastAsia="仿宋" w:cs="仿宋"/>
          <w:b w:val="0"/>
          <w:bCs/>
          <w:spacing w:val="-14"/>
          <w:sz w:val="32"/>
          <w:szCs w:val="32"/>
          <w:lang w:val="en-US" w:eastAsia="zh-CN"/>
        </w:rPr>
        <w:t>10.7</w:t>
      </w:r>
      <w:r>
        <w:rPr>
          <w:rFonts w:hint="eastAsia" w:ascii="仿宋" w:hAnsi="仿宋" w:eastAsia="仿宋" w:cs="仿宋"/>
          <w:b w:val="0"/>
          <w:bCs/>
          <w:spacing w:val="-14"/>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200"/>
        <w:textAlignment w:val="auto"/>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rPr>
        <w:t>二、在落实环境影响报告表提出的各项环境保护措施要求的前提下，综合考虑各方面的因素，从环境保护角度分析，我局同意该项目建设。</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200"/>
        <w:textAlignment w:val="auto"/>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rPr>
        <w:t>三、在项目建设与运行过程中，必须对照《报告表》逐一落实各项环保对策措施，重点做好以下工作：</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jc w:val="both"/>
        <w:textAlignment w:val="auto"/>
        <w:rPr>
          <w:rFonts w:hint="eastAsia" w:ascii="仿宋" w:hAnsi="仿宋" w:eastAsia="仿宋" w:cs="仿宋"/>
          <w:b w:val="0"/>
          <w:bCs/>
          <w:spacing w:val="-14"/>
          <w:sz w:val="32"/>
          <w:szCs w:val="32"/>
          <w:lang w:eastAsia="zh-CN"/>
        </w:rPr>
      </w:pPr>
      <w:r>
        <w:rPr>
          <w:rFonts w:hint="eastAsia" w:ascii="仿宋_GB2312" w:hAnsi="宋体" w:eastAsia="仿宋_GB2312" w:cs="黑体"/>
          <w:b w:val="0"/>
          <w:bCs/>
          <w:spacing w:val="-14"/>
          <w:sz w:val="32"/>
          <w:szCs w:val="32"/>
        </w:rPr>
        <w:t>1、</w:t>
      </w:r>
      <w:r>
        <w:rPr>
          <w:rFonts w:hint="eastAsia" w:ascii="仿宋_GB2312" w:hAnsi="宋体" w:eastAsia="仿宋_GB2312" w:cs="黑体"/>
          <w:b w:val="0"/>
          <w:bCs/>
          <w:spacing w:val="-14"/>
          <w:sz w:val="32"/>
          <w:szCs w:val="32"/>
          <w:lang w:eastAsia="zh-CN"/>
        </w:rPr>
        <w:t>避免大风天气作业，场内设洒水车，建筑垃圾要及时处置并做好抑制粉尘产生的措施；场</w:t>
      </w:r>
      <w:r>
        <w:rPr>
          <w:rFonts w:hint="eastAsia" w:ascii="仿宋" w:hAnsi="仿宋" w:eastAsia="仿宋" w:cs="仿宋"/>
          <w:b w:val="0"/>
          <w:bCs/>
          <w:spacing w:val="-14"/>
          <w:sz w:val="32"/>
          <w:szCs w:val="32"/>
          <w:lang w:eastAsia="zh-CN"/>
        </w:rPr>
        <w:t>内道路硬化，需经常清扫和洒水，保持路面清洁，对出场车辆要进行冲洗。</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jc w:val="both"/>
        <w:textAlignment w:val="auto"/>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lang w:eastAsia="zh-CN"/>
        </w:rPr>
        <w:t>2、旱厕定期掏空，由附近农民清运，用于农田施肥；洗车废水经沉淀池收集沉淀后，循环利用，不得外排</w:t>
      </w:r>
      <w:r>
        <w:rPr>
          <w:rFonts w:hint="eastAsia" w:ascii="仿宋" w:hAnsi="仿宋" w:eastAsia="仿宋" w:cs="仿宋"/>
          <w:b w:val="0"/>
          <w:bCs/>
          <w:spacing w:val="-14"/>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84" w:firstLineChars="200"/>
        <w:jc w:val="left"/>
        <w:textAlignment w:val="auto"/>
        <w:rPr>
          <w:rFonts w:hint="eastAsia" w:ascii="仿宋" w:hAnsi="仿宋" w:eastAsia="仿宋" w:cs="仿宋"/>
          <w:b w:val="0"/>
          <w:bCs/>
          <w:spacing w:val="-14"/>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84" w:firstLineChars="200"/>
        <w:jc w:val="left"/>
        <w:textAlignment w:val="auto"/>
        <w:rPr>
          <w:rFonts w:hint="eastAsia" w:ascii="仿宋" w:hAnsi="仿宋" w:eastAsia="仿宋" w:cs="仿宋"/>
          <w:b w:val="0"/>
          <w:bCs/>
          <w:spacing w:val="-14"/>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84" w:firstLineChars="200"/>
        <w:jc w:val="left"/>
        <w:textAlignment w:val="auto"/>
        <w:rPr>
          <w:rFonts w:hint="eastAsia" w:ascii="仿宋" w:hAnsi="仿宋" w:eastAsia="仿宋" w:cs="仿宋"/>
          <w:b w:val="0"/>
          <w:bCs/>
          <w:spacing w:val="-14"/>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84" w:firstLineChars="200"/>
        <w:jc w:val="left"/>
        <w:textAlignment w:val="auto"/>
        <w:rPr>
          <w:rFonts w:hint="eastAsia" w:ascii="仿宋" w:hAnsi="仿宋" w:eastAsia="仿宋" w:cs="仿宋"/>
          <w:b w:val="0"/>
          <w:bCs/>
          <w:spacing w:val="-14"/>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84" w:firstLineChars="200"/>
        <w:textAlignment w:val="auto"/>
        <w:rPr>
          <w:rFonts w:hint="eastAsia" w:ascii="仿宋_GB2312" w:hAnsi="宋体" w:eastAsia="仿宋_GB2312" w:cs="黑体"/>
          <w:b w:val="0"/>
          <w:bCs/>
          <w:spacing w:val="-14"/>
          <w:sz w:val="32"/>
          <w:szCs w:val="32"/>
          <w:lang w:eastAsia="zh-CN"/>
        </w:rPr>
      </w:pPr>
      <w:r>
        <w:rPr>
          <w:rFonts w:hint="eastAsia" w:ascii="仿宋" w:hAnsi="仿宋" w:eastAsia="仿宋" w:cs="仿宋"/>
          <w:b w:val="0"/>
          <w:bCs/>
          <w:spacing w:val="-14"/>
          <w:sz w:val="32"/>
          <w:szCs w:val="32"/>
          <w:lang w:val="en-US" w:eastAsia="zh-CN"/>
        </w:rPr>
        <w:t>3、</w:t>
      </w:r>
      <w:r>
        <w:rPr>
          <w:rFonts w:hint="eastAsia" w:ascii="仿宋_GB2312" w:hAnsi="宋体" w:eastAsia="仿宋_GB2312" w:cs="黑体"/>
          <w:b w:val="0"/>
          <w:bCs/>
          <w:spacing w:val="-14"/>
          <w:sz w:val="32"/>
          <w:szCs w:val="32"/>
        </w:rPr>
        <w:t>落实固体废物防治措施。</w:t>
      </w:r>
      <w:r>
        <w:rPr>
          <w:rFonts w:hint="eastAsia" w:ascii="仿宋_GB2312" w:hAnsi="宋体" w:eastAsia="仿宋_GB2312" w:cs="黑体"/>
          <w:b w:val="0"/>
          <w:bCs/>
          <w:spacing w:val="-14"/>
          <w:sz w:val="32"/>
          <w:szCs w:val="32"/>
          <w:lang w:eastAsia="zh-CN"/>
        </w:rPr>
        <w:t>建筑垃圾由施工单位回收利用；滤泥收集晒干后送垃圾填埋场处置；生活垃圾送环卫部门指定地点统一处理。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lang w:val="en-US" w:eastAsia="zh-CN"/>
        </w:rPr>
        <w:t xml:space="preserve">    </w:t>
      </w:r>
      <w:r>
        <w:rPr>
          <w:rFonts w:hint="eastAsia" w:ascii="仿宋" w:hAnsi="仿宋" w:eastAsia="仿宋" w:cs="仿宋"/>
          <w:b w:val="0"/>
          <w:bCs/>
          <w:spacing w:val="-14"/>
          <w:sz w:val="32"/>
          <w:szCs w:val="32"/>
        </w:rPr>
        <w:t>4、选购低噪声设备，对各类产噪采用相应的基础减震等消声降噪措施，确保噪声满足相关环境标准限制要求。</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rPr>
        <w:t>四、项目实施必须严格执行配套建设的环境保护设施与主体工程同时设计、同时施工、同时投产使用的环境保护“三同时”制度。项目建成后要按规定程序实施竣工环境保护验收。</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rPr>
        <w:t>五、你公司应在收到本批复后10个工作日内，将批准后的环评报告表及批复送至长治市生态环境保护综合行政执法队四大队，并按照规定接受各级环境保护行政主管部门的日常监督检查。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spacing w:val="-14"/>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584" w:firstLineChars="200"/>
        <w:textAlignment w:val="auto"/>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200"/>
        <w:textAlignment w:val="auto"/>
        <w:rPr>
          <w:rFonts w:hint="eastAsia" w:ascii="仿宋" w:hAnsi="仿宋" w:eastAsia="仿宋" w:cs="仿宋"/>
          <w:b w:val="0"/>
          <w:bCs/>
          <w:spacing w:val="-14"/>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4380" w:firstLineChars="1500"/>
        <w:textAlignment w:val="auto"/>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rPr>
        <w:t>长治市生态环境局潞城分局</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200"/>
        <w:textAlignment w:val="auto"/>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rPr>
        <w:t xml:space="preserve">                               </w:t>
      </w:r>
      <w:r>
        <w:rPr>
          <w:rFonts w:hint="eastAsia" w:ascii="仿宋" w:hAnsi="仿宋" w:eastAsia="仿宋" w:cs="仿宋"/>
          <w:b w:val="0"/>
          <w:bCs/>
          <w:spacing w:val="-14"/>
          <w:sz w:val="32"/>
          <w:szCs w:val="32"/>
          <w:lang w:val="en-US" w:eastAsia="zh-CN"/>
        </w:rPr>
        <w:t xml:space="preserve">  </w:t>
      </w:r>
      <w:r>
        <w:rPr>
          <w:rFonts w:hint="eastAsia" w:ascii="仿宋" w:hAnsi="仿宋" w:eastAsia="仿宋" w:cs="仿宋"/>
          <w:b w:val="0"/>
          <w:bCs/>
          <w:spacing w:val="-14"/>
          <w:sz w:val="32"/>
          <w:szCs w:val="32"/>
        </w:rPr>
        <w:t>202</w:t>
      </w:r>
      <w:r>
        <w:rPr>
          <w:rFonts w:hint="eastAsia" w:ascii="仿宋" w:hAnsi="仿宋" w:eastAsia="仿宋" w:cs="仿宋"/>
          <w:b w:val="0"/>
          <w:bCs/>
          <w:spacing w:val="-14"/>
          <w:sz w:val="32"/>
          <w:szCs w:val="32"/>
          <w:lang w:val="en-US" w:eastAsia="zh-CN"/>
        </w:rPr>
        <w:t>5</w:t>
      </w:r>
      <w:r>
        <w:rPr>
          <w:rFonts w:hint="eastAsia" w:ascii="仿宋" w:hAnsi="仿宋" w:eastAsia="仿宋" w:cs="仿宋"/>
          <w:b w:val="0"/>
          <w:bCs/>
          <w:spacing w:val="-14"/>
          <w:sz w:val="32"/>
          <w:szCs w:val="32"/>
        </w:rPr>
        <w:t>年</w:t>
      </w:r>
      <w:r>
        <w:rPr>
          <w:rFonts w:hint="eastAsia" w:ascii="仿宋" w:hAnsi="仿宋" w:eastAsia="仿宋" w:cs="仿宋"/>
          <w:b w:val="0"/>
          <w:bCs/>
          <w:spacing w:val="-14"/>
          <w:sz w:val="32"/>
          <w:szCs w:val="32"/>
          <w:lang w:val="en-US" w:eastAsia="zh-CN"/>
        </w:rPr>
        <w:t>1</w:t>
      </w:r>
      <w:r>
        <w:rPr>
          <w:rFonts w:hint="eastAsia" w:ascii="仿宋" w:hAnsi="仿宋" w:eastAsia="仿宋" w:cs="仿宋"/>
          <w:b w:val="0"/>
          <w:bCs/>
          <w:spacing w:val="-14"/>
          <w:sz w:val="32"/>
          <w:szCs w:val="32"/>
        </w:rPr>
        <w:t>月</w:t>
      </w:r>
      <w:r>
        <w:rPr>
          <w:rFonts w:hint="eastAsia" w:ascii="仿宋" w:hAnsi="仿宋" w:eastAsia="仿宋" w:cs="仿宋"/>
          <w:b w:val="0"/>
          <w:bCs/>
          <w:spacing w:val="-14"/>
          <w:sz w:val="32"/>
          <w:szCs w:val="32"/>
          <w:lang w:val="en-US" w:eastAsia="zh-CN"/>
        </w:rPr>
        <w:t>3</w:t>
      </w:r>
      <w:r>
        <w:rPr>
          <w:rFonts w:hint="eastAsia" w:ascii="仿宋" w:hAnsi="仿宋" w:eastAsia="仿宋" w:cs="仿宋"/>
          <w:b w:val="0"/>
          <w:bCs/>
          <w:spacing w:val="-14"/>
          <w:sz w:val="32"/>
          <w:szCs w:val="32"/>
        </w:rPr>
        <w:t>日</w:t>
      </w:r>
    </w:p>
    <w:p>
      <w:pPr/>
    </w:p>
    <w:p>
      <w:pPr/>
    </w:p>
    <w:sectPr>
      <w:pgSz w:w="12060" w:h="16820"/>
      <w:pgMar w:top="1440" w:right="1689" w:bottom="1440" w:left="1689"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新宋体">
    <w:panose1 w:val="02010609030101010101"/>
    <w:charset w:val="86"/>
    <w:family w:val="decorative"/>
    <w:pitch w:val="default"/>
    <w:sig w:usb0="00000003" w:usb1="288F0000" w:usb2="00000006" w:usb3="00000000" w:csb0="00040001" w:csb1="00000000"/>
  </w:font>
  <w:font w:name="楷体_GB2312">
    <w:panose1 w:val="02010609030101010101"/>
    <w:charset w:val="86"/>
    <w:family w:val="decorative"/>
    <w:pitch w:val="default"/>
    <w:sig w:usb0="00000001" w:usb1="080E0000" w:usb2="00000000" w:usb3="00000000" w:csb0="00040000" w:csb1="00000000"/>
  </w:font>
  <w:font w:name="Gungsuh">
    <w:panose1 w:val="02030600000101010101"/>
    <w:charset w:val="81"/>
    <w:family w:val="swiss"/>
    <w:pitch w:val="default"/>
    <w:sig w:usb0="B00002AF" w:usb1="69D77CFB" w:usb2="00000030" w:usb3="00000000" w:csb0="4008009F" w:csb1="DFD70000"/>
  </w:font>
  <w:font w:name="等线">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roman"/>
    <w:pitch w:val="default"/>
    <w:sig w:usb0="A10006FF" w:usb1="4000205B" w:usb2="00000010" w:usb3="00000000" w:csb0="2000019F" w:csb1="00000000"/>
  </w:font>
  <w:font w:name="MS Mincho">
    <w:panose1 w:val="02020609040205080304"/>
    <w:charset w:val="80"/>
    <w:family w:val="decorative"/>
    <w:pitch w:val="default"/>
    <w:sig w:usb0="E00002FF" w:usb1="6AC7FDFB" w:usb2="00000012" w:usb3="00000000" w:csb0="4002009F" w:csb1="DFD7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roman"/>
    <w:pitch w:val="default"/>
    <w:sig w:usb0="E1002EFF" w:usb1="C000605B" w:usb2="00000029" w:usb3="00000000" w:csb0="200101FF" w:csb1="20280000"/>
  </w:font>
  <w:font w:name="Arail">
    <w:altName w:val="微软雅黑"/>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swiss"/>
    <w:pitch w:val="default"/>
    <w:sig w:usb0="00000000" w:usb1="00000000" w:usb2="00000010" w:usb3="00000000" w:csb0="00060001" w:csb1="00000000"/>
  </w:font>
  <w:font w:name="Wingdings 2">
    <w:altName w:val="Wingdings"/>
    <w:panose1 w:val="05020102010507070707"/>
    <w:charset w:val="02"/>
    <w:family w:val="swiss"/>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ngdings">
    <w:panose1 w:val="05000000000000000000"/>
    <w:charset w:val="02"/>
    <w:family w:val="swiss"/>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roma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modern"/>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新宋体">
    <w:panose1 w:val="02010609030101010101"/>
    <w:charset w:val="86"/>
    <w:family w:val="roman"/>
    <w:pitch w:val="default"/>
    <w:sig w:usb0="00000003" w:usb1="288F0000" w:usb2="00000006" w:usb3="00000000" w:csb0="00040001" w:csb1="00000000"/>
  </w:font>
  <w:font w:name="楷体_GB2312">
    <w:panose1 w:val="02010609030101010101"/>
    <w:charset w:val="86"/>
    <w:family w:val="roman"/>
    <w:pitch w:val="default"/>
    <w:sig w:usb0="00000001" w:usb1="080E0000" w:usb2="00000000" w:usb3="00000000" w:csb0="00040000" w:csb1="00000000"/>
  </w:font>
  <w:font w:name="Gungsuh">
    <w:panose1 w:val="02030600000101010101"/>
    <w:charset w:val="81"/>
    <w:family w:val="decorative"/>
    <w:pitch w:val="default"/>
    <w:sig w:usb0="B00002AF" w:usb1="69D77CFB" w:usb2="00000030" w:usb3="00000000" w:csb0="4008009F" w:csb1="DFD70000"/>
  </w:font>
  <w:font w:name="Verdana">
    <w:panose1 w:val="020B0604030504040204"/>
    <w:charset w:val="00"/>
    <w:family w:val="modern"/>
    <w:pitch w:val="default"/>
    <w:sig w:usb0="A10006FF" w:usb1="4000205B" w:usb2="00000010" w:usb3="00000000" w:csb0="2000019F" w:csb1="00000000"/>
  </w:font>
  <w:font w:name="MS Mincho">
    <w:panose1 w:val="02020609040205080304"/>
    <w:charset w:val="80"/>
    <w:family w:val="roman"/>
    <w:pitch w:val="default"/>
    <w:sig w:usb0="E00002FF" w:usb1="6AC7FDFB" w:usb2="00000012" w:usb3="00000000" w:csb0="4002009F" w:csb1="DFD70000"/>
  </w:font>
  <w:font w:name="Arial Unicode MS">
    <w:altName w:val="宋体"/>
    <w:panose1 w:val="020B0604020202020204"/>
    <w:charset w:val="86"/>
    <w:family w:val="modern"/>
    <w:pitch w:val="default"/>
    <w:sig w:usb0="00000000" w:usb1="00000000" w:usb2="0000003F" w:usb3="00000000" w:csb0="603F01FF" w:csb1="FFFF0000"/>
  </w:font>
  <w:font w:name="Tahoma">
    <w:panose1 w:val="020B0604030504040204"/>
    <w:charset w:val="00"/>
    <w:family w:val="modern"/>
    <w:pitch w:val="default"/>
    <w:sig w:usb0="E1002EFF" w:usb1="C000605B" w:usb2="00000029" w:usb3="00000000" w:csb0="200101FF" w:csb1="20280000"/>
  </w:font>
  <w:font w:name="TimesNewRomanPSMT">
    <w:altName w:val="Times New Roman"/>
    <w:panose1 w:val="00000000000000000000"/>
    <w:charset w:val="00"/>
    <w:family w:val="decorative"/>
    <w:pitch w:val="default"/>
    <w:sig w:usb0="00000000" w:usb1="00000000" w:usb2="00000010" w:usb3="00000000" w:csb0="00060001" w:csb1="00000000"/>
  </w:font>
  <w:font w:name="Wingdings 2">
    <w:altName w:val="Wingdings"/>
    <w:panose1 w:val="05020102010507070707"/>
    <w:charset w:val="02"/>
    <w:family w:val="decorative"/>
    <w:pitch w:val="default"/>
    <w:sig w:usb0="00000000" w:usb1="00000000" w:usb2="00000000" w:usb3="00000000" w:csb0="80000000" w:csb1="00000000"/>
  </w:font>
  <w:font w:name="Wingdings">
    <w:panose1 w:val="05000000000000000000"/>
    <w:charset w:val="02"/>
    <w:family w:val="decorative"/>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Gungsuh">
    <w:panose1 w:val="02030600000101010101"/>
    <w:charset w:val="81"/>
    <w:family w:val="roman"/>
    <w:pitch w:val="default"/>
    <w:sig w:usb0="B00002AF" w:usb1="69D77CFB" w:usb2="00000030" w:usb3="00000000" w:csb0="4008009F" w:csb1="DFD7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10" w:usb3="00000000" w:csb0="0006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YjZiMjEwNzVhZTM5ZDQxODBmOTFkMGVlYzBiMGMifQ=="/>
  </w:docVars>
  <w:rsids>
    <w:rsidRoot w:val="650342F7"/>
    <w:rsid w:val="06A27213"/>
    <w:rsid w:val="0A9325EB"/>
    <w:rsid w:val="11314BEA"/>
    <w:rsid w:val="11AA3C52"/>
    <w:rsid w:val="11E357EF"/>
    <w:rsid w:val="1B5622D6"/>
    <w:rsid w:val="1CA1608E"/>
    <w:rsid w:val="1FAB2478"/>
    <w:rsid w:val="27831272"/>
    <w:rsid w:val="2912250A"/>
    <w:rsid w:val="298E145C"/>
    <w:rsid w:val="2AE61A71"/>
    <w:rsid w:val="2F963E76"/>
    <w:rsid w:val="31033E1E"/>
    <w:rsid w:val="32223D2A"/>
    <w:rsid w:val="385F4C82"/>
    <w:rsid w:val="3A8E66C1"/>
    <w:rsid w:val="41E95F17"/>
    <w:rsid w:val="47943E10"/>
    <w:rsid w:val="4DCC044A"/>
    <w:rsid w:val="554A70A8"/>
    <w:rsid w:val="595026D2"/>
    <w:rsid w:val="5B4B41FA"/>
    <w:rsid w:val="626B2ADC"/>
    <w:rsid w:val="64A53A65"/>
    <w:rsid w:val="650342F7"/>
    <w:rsid w:val="786B6CC5"/>
    <w:rsid w:val="79573104"/>
    <w:rsid w:val="7A72194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1"/>
    <w:qFormat/>
    <w:uiPriority w:val="0"/>
    <w:pPr>
      <w:keepNext w:val="0"/>
      <w:keepLines w:val="0"/>
      <w:widowControl w:val="0"/>
      <w:suppressLineNumbers w:val="0"/>
      <w:spacing w:before="0" w:beforeAutospacing="0" w:after="0" w:afterAutospacing="0" w:line="240" w:lineRule="auto"/>
      <w:ind w:left="0" w:right="0"/>
      <w:jc w:val="both"/>
    </w:pPr>
    <w:rPr>
      <w:rFonts w:hint="eastAsia" w:ascii="宋体" w:hAnsi="Courier New" w:eastAsia="宋体" w:cs="Times New Roman"/>
      <w:color w:val="auto"/>
      <w:kern w:val="2"/>
      <w:sz w:val="21"/>
      <w:szCs w:val="24"/>
      <w:lang w:val="en-US" w:eastAsia="zh-CN" w:bidi="ar-SA"/>
    </w:rPr>
  </w:style>
  <w:style w:type="paragraph" w:customStyle="1" w:styleId="5">
    <w:name w:val="Default"/>
    <w:basedOn w:val="6"/>
    <w:next w:val="2"/>
    <w:qFormat/>
    <w:uiPriority w:val="0"/>
    <w:pPr>
      <w:widowControl w:val="0"/>
      <w:autoSpaceDE w:val="0"/>
      <w:autoSpaceDN w:val="0"/>
      <w:adjustRightInd w:val="0"/>
    </w:pPr>
    <w:rPr>
      <w:rFonts w:ascii="楷体_GB2312" w:hAnsi="Times New Roman" w:eastAsia="楷体_GB2312" w:cs="Times New Roman"/>
      <w:color w:val="000000"/>
      <w:sz w:val="24"/>
      <w:lang w:val="en-US" w:eastAsia="zh-CN" w:bidi="ar-SA"/>
    </w:rPr>
  </w:style>
  <w:style w:type="paragraph" w:customStyle="1" w:styleId="6">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717</Words>
  <Characters>735</Characters>
  <Lines>0</Lines>
  <Paragraphs>0</Paragraphs>
  <ScaleCrop>false</ScaleCrop>
  <LinksUpToDate>false</LinksUpToDate>
  <CharactersWithSpaces>897</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2023-09-21T01:26:00Z</dcterms:created>
  <dc:creator>Myth</dc:creator>
  <cp:lastModifiedBy>Administrator</cp:lastModifiedBy>
  <cp:lastPrinted>2024-12-03T00:36:00Z</cp:lastPrinted>
  <dcterms:modified xsi:type="dcterms:W3CDTF">2025-01-03T00:55:33Z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822FED13EC594991AD181985F51D03A2_11</vt:lpwstr>
  </property>
</Properties>
</file>