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4"/>
          <w:rFonts w:hint="default"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</w:pPr>
      <w:r>
        <w:rPr>
          <w:rStyle w:val="4"/>
          <w:rFonts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  <w:t>附件</w:t>
      </w:r>
    </w:p>
    <w:p>
      <w:pPr>
        <w:spacing w:after="312"/>
        <w:jc w:val="center"/>
        <w:textAlignment w:val="baseline"/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2"/>
          <w:lang w:val="en-US" w:eastAsia="zh-CN" w:bidi="ar-SA"/>
        </w:rPr>
        <w:t>长治市潞城区建设项目招标方案和不招标核准表</w:t>
      </w:r>
      <w:bookmarkEnd w:id="0"/>
      <w:r>
        <w:rPr>
          <w:rStyle w:val="4"/>
          <w:rFonts w:hint="eastAsia" w:ascii="方正小标宋简体" w:hAnsi="方正小标宋简体" w:eastAsia="方正小标宋简体" w:cs="方正小标宋简体"/>
          <w:kern w:val="2"/>
          <w:sz w:val="21"/>
          <w:szCs w:val="22"/>
          <w:lang w:val="en-US" w:eastAsia="zh-CN" w:bidi="ar-SA"/>
        </w:rPr>
        <w:t xml:space="preserve"> </w:t>
      </w:r>
      <w:r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  <w:t xml:space="preserve">                                                                                            </w:t>
      </w:r>
      <w:r>
        <w:rPr>
          <w:rStyle w:val="4"/>
          <w:rFonts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       </w:t>
      </w:r>
      <w:r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</w:t>
      </w:r>
    </w:p>
    <w:p>
      <w:pPr>
        <w:spacing w:after="312"/>
        <w:jc w:val="center"/>
        <w:textAlignment w:val="baseline"/>
        <w:rPr>
          <w:rStyle w:val="4"/>
          <w:rFonts w:hint="default" w:ascii="仿宋" w:hAnsi="仿宋" w:eastAsia="仿宋"/>
          <w:kern w:val="2"/>
          <w:sz w:val="21"/>
          <w:szCs w:val="21"/>
          <w:highlight w:val="none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                                                  </w:t>
      </w: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核准号：202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4</w:t>
      </w: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－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13</w:t>
      </w:r>
    </w:p>
    <w:tbl>
      <w:tblPr>
        <w:tblStyle w:val="2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85"/>
        <w:gridCol w:w="1043"/>
        <w:gridCol w:w="1102"/>
        <w:gridCol w:w="1060"/>
        <w:gridCol w:w="1065"/>
        <w:gridCol w:w="1056"/>
        <w:gridCol w:w="1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429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太行区第四军分区及32团石梁旧址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保护提升项目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建设单位</w:t>
            </w:r>
          </w:p>
        </w:tc>
        <w:tc>
          <w:tcPr>
            <w:tcW w:w="23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长治市潞城区辛安泉镇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人民政府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招标范围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招标组织形式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不采用</w:t>
            </w:r>
          </w:p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全部招标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部分招标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委托招标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公开招标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邀请招标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  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建筑工程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安装工程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监  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招标公告发布媒介</w:t>
            </w:r>
          </w:p>
        </w:tc>
        <w:tc>
          <w:tcPr>
            <w:tcW w:w="6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山西招投标网（www.sxbid.com.cn）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核准意见：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一、该项目为关系社会公共利益和公众安全的基础设施项目，项目总投资额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已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达到强制招标的规模标准，根据有关规定，建安工程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应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进行招标。 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二、同意建设单位提出的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勘察、设计、监理、设备不公开招标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的申请。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三、该项目的招标公告必须在山西招投标网发布，中标候选人结果也必须在该网站公示。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四、该项目应在山西省评标专家库随机抽取评标专家。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五、建设单位和委托的招标代理机构应严格按核准意见进行招标。</w:t>
            </w:r>
          </w:p>
          <w:p>
            <w:pPr>
              <w:tabs>
                <w:tab w:val="left" w:pos="3135"/>
              </w:tabs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ind w:firstLine="5040" w:firstLineChars="24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发展和改革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局 （章）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E0D5C"/>
    <w:rsid w:val="5B6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2024-03-28T02:19:00Z</dcterms:created>
  <dc:creator>发改局-王静</dc:creator>
  <cp:lastModifiedBy>发改局-王静</cp:lastModifiedBy>
  <dcterms:modified xsi:type="dcterms:W3CDTF">2024-03-28T02:20:29Z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