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sz w:val="32"/>
          <w:szCs w:val="32"/>
        </w:rPr>
      </w:pPr>
      <w:r>
        <w:rPr>
          <w:rFonts w:hint="eastAsia" w:ascii="黑体" w:hAnsi="黑体" w:eastAsia="黑体" w:cs="Times New Roman"/>
          <w:bCs/>
          <w:sz w:val="32"/>
          <w:szCs w:val="32"/>
        </w:rPr>
        <w:t>附件1</w:t>
      </w:r>
    </w:p>
    <w:p>
      <w:pPr>
        <w:overflowPunct w:val="0"/>
        <w:spacing w:line="400" w:lineRule="exact"/>
        <w:rPr>
          <w:rFonts w:ascii="Times New Roman" w:hAnsi="Times New Roman" w:eastAsia="黑体" w:cs="Times New Roman"/>
          <w:sz w:val="32"/>
          <w:szCs w:val="32"/>
        </w:rPr>
      </w:pPr>
    </w:p>
    <w:p>
      <w:pPr>
        <w:overflowPunct w:val="0"/>
        <w:spacing w:line="560" w:lineRule="exact"/>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本次检验项目</w:t>
      </w:r>
    </w:p>
    <w:p>
      <w:pPr>
        <w:overflowPunct w:val="0"/>
        <w:spacing w:line="560" w:lineRule="exact"/>
        <w:jc w:val="center"/>
        <w:rPr>
          <w:rFonts w:ascii="Times New Roman" w:hAnsi="Times New Roman" w:eastAsia="宋体" w:cs="Times New Roman"/>
          <w:b/>
          <w:bCs/>
          <w:sz w:val="44"/>
          <w:szCs w:val="44"/>
        </w:rPr>
      </w:pPr>
    </w:p>
    <w:p>
      <w:pPr>
        <w:ind w:firstLine="640"/>
        <w:rPr>
          <w:rFonts w:ascii="黑体" w:hAnsi="黑体" w:eastAsia="黑体" w:cs="黑体"/>
          <w:sz w:val="32"/>
          <w:szCs w:val="32"/>
        </w:rPr>
      </w:pPr>
      <w:r>
        <w:rPr>
          <w:rFonts w:hint="eastAsia" w:ascii="黑体" w:hAnsi="黑体" w:eastAsia="黑体" w:cs="黑体"/>
          <w:sz w:val="32"/>
          <w:szCs w:val="32"/>
        </w:rPr>
        <w:t>一、食用农产品</w:t>
      </w:r>
    </w:p>
    <w:p>
      <w:pPr>
        <w:snapToGrid w:val="0"/>
        <w:spacing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抽检依据是《食品安全国家标准 食品中真菌毒素限量》（GB 2761）、《食品安全国家标准 食品中污染物限量》（GB 2762）、《食品安全国家标准 食品中农药最大残留限量》（GB 2763）、</w:t>
      </w:r>
      <w:r>
        <w:rPr>
          <w:rFonts w:ascii="仿宋" w:hAnsi="仿宋" w:eastAsia="仿宋" w:cs="仿宋_GB2312"/>
          <w:sz w:val="32"/>
          <w:szCs w:val="32"/>
        </w:rPr>
        <w:t>农业部公告第235号 GB31650</w:t>
      </w:r>
      <w:r>
        <w:rPr>
          <w:rFonts w:hint="eastAsia" w:ascii="仿宋" w:hAnsi="仿宋" w:eastAsia="仿宋" w:cs="仿宋_GB2312"/>
          <w:sz w:val="32"/>
          <w:szCs w:val="32"/>
        </w:rPr>
        <w:t>、</w:t>
      </w:r>
      <w:r>
        <w:rPr>
          <w:rFonts w:ascii="仿宋" w:hAnsi="仿宋" w:eastAsia="仿宋" w:cs="仿宋_GB2312"/>
          <w:sz w:val="32"/>
          <w:szCs w:val="32"/>
        </w:rPr>
        <w:t>农业农村部公告第250号</w:t>
      </w:r>
      <w:r>
        <w:rPr>
          <w:rFonts w:hint="eastAsia" w:ascii="仿宋" w:hAnsi="仿宋" w:eastAsia="仿宋" w:cs="仿宋_GB2312"/>
          <w:sz w:val="32"/>
          <w:szCs w:val="32"/>
        </w:rPr>
        <w:t>、</w:t>
      </w:r>
      <w:r>
        <w:rPr>
          <w:rFonts w:ascii="仿宋" w:hAnsi="仿宋" w:eastAsia="仿宋" w:cs="仿宋_GB2312"/>
          <w:sz w:val="32"/>
          <w:szCs w:val="32"/>
        </w:rPr>
        <w:t>整顿办函〔2010〕50 号</w:t>
      </w:r>
      <w:r>
        <w:rPr>
          <w:rFonts w:hint="eastAsia" w:ascii="仿宋" w:hAnsi="仿宋" w:eastAsia="仿宋" w:cs="仿宋_GB2312"/>
          <w:sz w:val="32"/>
          <w:szCs w:val="32"/>
        </w:rPr>
        <w:t>、《豆芽卫生标准、</w:t>
      </w:r>
      <w:r>
        <w:rPr>
          <w:rFonts w:ascii="仿宋" w:hAnsi="仿宋" w:eastAsia="仿宋" w:cs="仿宋_GB2312"/>
          <w:sz w:val="32"/>
          <w:szCs w:val="32"/>
        </w:rPr>
        <w:t>国家食品药品监督管理总局农业部国家卫生和计划生育委员会关于豆芽生产过程中禁止使用6-苄基腺嘌呤等物质的公告（2015年第11号）</w:t>
      </w:r>
      <w:r>
        <w:rPr>
          <w:rFonts w:hint="eastAsia" w:ascii="仿宋" w:hAnsi="仿宋" w:eastAsia="仿宋" w:cs="仿宋_GB2312"/>
          <w:sz w:val="32"/>
          <w:szCs w:val="32"/>
        </w:rPr>
        <w:t>》（GB 22556）</w:t>
      </w:r>
      <w:r>
        <w:rPr>
          <w:rFonts w:ascii="Calibri" w:hAnsi="Calibri" w:eastAsia="仿宋" w:cs="Calibri"/>
          <w:sz w:val="32"/>
          <w:szCs w:val="32"/>
        </w:rPr>
        <w:t> </w:t>
      </w:r>
      <w:r>
        <w:rPr>
          <w:rFonts w:hint="eastAsia" w:ascii="仿宋" w:hAnsi="仿宋" w:eastAsia="仿宋" w:cs="仿宋_GB2312"/>
          <w:sz w:val="32"/>
          <w:szCs w:val="32"/>
        </w:rPr>
        <w:t>等标准及产品明示标准和指标的要求。</w:t>
      </w:r>
    </w:p>
    <w:p>
      <w:pPr>
        <w:snapToGrid w:val="0"/>
        <w:spacing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菠菜抽检项目包括毒死蜱、水胺硫磷、氧乐果、乙酰甲胺磷、乐果、阿维菌素。</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菜豆抽检项目包括噻虫胺、水胺硫磷、溴氰菊酯、氧乐果、乙酰甲胺磷。</w:t>
      </w:r>
    </w:p>
    <w:p>
      <w:pPr>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.橙抽检项目包括联苯菊酯、三唑磷、杀扑磷、水胺硫磷、苯醚甲环唑、氯唑磷。</w:t>
      </w:r>
    </w:p>
    <w:p>
      <w:pPr>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.葱抽检项目包括噻虫嗪、水胺硫磷、戊唑醇、氧乐果、甲拌磷。</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大白菜抽检项目包括甲胺磷、甲拌磷、乐果、水胺硫磷、氧乐果、乙酰甲胺磷。</w:t>
      </w:r>
    </w:p>
    <w:p>
      <w:pPr>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.淡水虾抽检项目包括恩诺沙星、呋喃唑酮代谢物、呋喃妥因代谢物、氧氟沙星、诺氟沙星。</w:t>
      </w:r>
    </w:p>
    <w:p>
      <w:pPr>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.淡水鱼抽检项目包括恩诺沙星、孔雀石绿、地西泮、五氯酚酸钠（以五氯酚计）、磺胺类（总量）、氧氟沙星、诺氟沙星、培氟沙星、氯霉素、呋喃唑酮代谢物、呋喃西林代谢物。</w:t>
      </w:r>
    </w:p>
    <w:p>
      <w:pPr>
        <w:ind w:firstLine="640" w:firstLineChars="200"/>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豆类抽检项目包括铅（以Pb计）、铬（以Cr计）、赭曲霉毒素A、吡虫啉、环丙唑醇。</w:t>
      </w:r>
    </w:p>
    <w:p>
      <w:pPr>
        <w:ind w:firstLine="640" w:firstLineChars="200"/>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.豆芽抽检项目包括4-氯苯氧乙酸钠（以4-氯苯氧乙酸计）、6-苄基腺嘌呤（6-BA）、铅（以Pb计）、总汞（以Hg计）、亚硫酸盐（以SO2计）。</w:t>
      </w:r>
    </w:p>
    <w:p>
      <w:pPr>
        <w:ind w:firstLine="640" w:firstLineChars="200"/>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w:t>
      </w:r>
      <w:bookmarkStart w:id="0" w:name="_GoBack"/>
      <w:bookmarkEnd w:id="0"/>
      <w:r>
        <w:rPr>
          <w:rFonts w:hint="eastAsia" w:ascii="仿宋" w:hAnsi="仿宋" w:eastAsia="仿宋" w:cs="仿宋_GB2312"/>
          <w:sz w:val="32"/>
          <w:szCs w:val="32"/>
        </w:rPr>
        <w:t>番茄抽检项目包括氧乐果、敌敌畏、毒死蜱、腐霉利、甲拌磷、氯氟氰菊酯和高效氯氟氰菊酯。</w:t>
      </w:r>
    </w:p>
    <w:p>
      <w:pPr>
        <w:snapToGrid w:val="0"/>
        <w:spacing w:line="600" w:lineRule="exact"/>
        <w:ind w:firstLine="640" w:firstLineChars="200"/>
        <w:jc w:val="left"/>
        <w:rPr>
          <w:rFonts w:ascii="仿宋" w:hAnsi="仿宋" w:eastAsia="仿宋" w:cs="仿宋"/>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nsolas">
    <w:panose1 w:val="020B0609020204030204"/>
    <w:charset w:val="00"/>
    <w:family w:val="swiss"/>
    <w:pitch w:val="default"/>
    <w:sig w:usb0="E10002FF" w:usb1="4000FCFF" w:usb2="00000009" w:usb3="00000000" w:csb0="6000019F" w:csb1="DFD7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7B71"/>
    <w:rsid w:val="00000044"/>
    <w:rsid w:val="00027418"/>
    <w:rsid w:val="000C1A7A"/>
    <w:rsid w:val="000F7CA9"/>
    <w:rsid w:val="00186242"/>
    <w:rsid w:val="001D6961"/>
    <w:rsid w:val="002065F9"/>
    <w:rsid w:val="00233414"/>
    <w:rsid w:val="00241E8C"/>
    <w:rsid w:val="002A0CD3"/>
    <w:rsid w:val="00412AE3"/>
    <w:rsid w:val="004769B5"/>
    <w:rsid w:val="004D6BB7"/>
    <w:rsid w:val="004E08D2"/>
    <w:rsid w:val="0055770B"/>
    <w:rsid w:val="00580636"/>
    <w:rsid w:val="005B243E"/>
    <w:rsid w:val="005C040C"/>
    <w:rsid w:val="00635F6B"/>
    <w:rsid w:val="00725EC0"/>
    <w:rsid w:val="00731FEC"/>
    <w:rsid w:val="007D4A7F"/>
    <w:rsid w:val="00854332"/>
    <w:rsid w:val="008C7105"/>
    <w:rsid w:val="008E3F96"/>
    <w:rsid w:val="00966F65"/>
    <w:rsid w:val="009C0AFA"/>
    <w:rsid w:val="00A911DA"/>
    <w:rsid w:val="00B012E9"/>
    <w:rsid w:val="00B1722F"/>
    <w:rsid w:val="00B2599D"/>
    <w:rsid w:val="00B466BD"/>
    <w:rsid w:val="00BC1805"/>
    <w:rsid w:val="00C70718"/>
    <w:rsid w:val="00CE7A45"/>
    <w:rsid w:val="00D031D3"/>
    <w:rsid w:val="00D2582E"/>
    <w:rsid w:val="00F43C51"/>
    <w:rsid w:val="00F61591"/>
    <w:rsid w:val="022F54D5"/>
    <w:rsid w:val="02FE3237"/>
    <w:rsid w:val="044D4AE1"/>
    <w:rsid w:val="07A30EA1"/>
    <w:rsid w:val="07AB0B60"/>
    <w:rsid w:val="08544D25"/>
    <w:rsid w:val="0FED2935"/>
    <w:rsid w:val="17BE6E0C"/>
    <w:rsid w:val="180B352D"/>
    <w:rsid w:val="19D94E75"/>
    <w:rsid w:val="1A2E774E"/>
    <w:rsid w:val="1A614645"/>
    <w:rsid w:val="1AF03356"/>
    <w:rsid w:val="1C624CBC"/>
    <w:rsid w:val="1F7E6E20"/>
    <w:rsid w:val="1FF34898"/>
    <w:rsid w:val="2142612C"/>
    <w:rsid w:val="22A23A4F"/>
    <w:rsid w:val="23000B2D"/>
    <w:rsid w:val="24DA4118"/>
    <w:rsid w:val="254635C7"/>
    <w:rsid w:val="2B6D4DC7"/>
    <w:rsid w:val="2DD815E9"/>
    <w:rsid w:val="30B57EE3"/>
    <w:rsid w:val="3121348B"/>
    <w:rsid w:val="31421AD7"/>
    <w:rsid w:val="31F11F4E"/>
    <w:rsid w:val="3E511BFF"/>
    <w:rsid w:val="3E5C11DD"/>
    <w:rsid w:val="3F353336"/>
    <w:rsid w:val="45365908"/>
    <w:rsid w:val="49A709C3"/>
    <w:rsid w:val="4C1C4D08"/>
    <w:rsid w:val="518A022B"/>
    <w:rsid w:val="566214A4"/>
    <w:rsid w:val="57CB5DFF"/>
    <w:rsid w:val="587C6701"/>
    <w:rsid w:val="5910264D"/>
    <w:rsid w:val="59A53592"/>
    <w:rsid w:val="59B9057B"/>
    <w:rsid w:val="5B4A0A5B"/>
    <w:rsid w:val="5C5428EA"/>
    <w:rsid w:val="5D35137E"/>
    <w:rsid w:val="5E8159BB"/>
    <w:rsid w:val="613321CF"/>
    <w:rsid w:val="626243B5"/>
    <w:rsid w:val="631C3C77"/>
    <w:rsid w:val="64C74244"/>
    <w:rsid w:val="684745C2"/>
    <w:rsid w:val="69897B71"/>
    <w:rsid w:val="69C0222C"/>
    <w:rsid w:val="6BF677A9"/>
    <w:rsid w:val="6EA61A30"/>
    <w:rsid w:val="724C2B0A"/>
    <w:rsid w:val="736B30D7"/>
    <w:rsid w:val="7D9E36D8"/>
    <w:rsid w:val="7DB5346B"/>
    <w:rsid w:val="7F5B6E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color="auto" w:fill="F9F2F4"/>
    </w:rPr>
  </w:style>
  <w:style w:type="character" w:styleId="11">
    <w:name w:val="HTML Keyboard"/>
    <w:basedOn w:val="5"/>
    <w:qFormat/>
    <w:uiPriority w:val="0"/>
    <w:rPr>
      <w:rFonts w:hint="default" w:ascii="Consolas" w:hAnsi="Consolas" w:eastAsia="Consolas" w:cs="Consolas"/>
      <w:color w:val="FFFFFF"/>
      <w:sz w:val="21"/>
      <w:szCs w:val="21"/>
      <w:shd w:val="clear" w:color="auto" w:fill="333333"/>
    </w:rPr>
  </w:style>
  <w:style w:type="character" w:styleId="12">
    <w:name w:val="HTML Sample"/>
    <w:basedOn w:val="5"/>
    <w:qFormat/>
    <w:uiPriority w:val="0"/>
    <w:rPr>
      <w:rFonts w:ascii="Consolas" w:hAnsi="Consolas" w:eastAsia="Consolas" w:cs="Consolas"/>
      <w:sz w:val="21"/>
      <w:szCs w:val="21"/>
    </w:rPr>
  </w:style>
  <w:style w:type="character" w:customStyle="1" w:styleId="14">
    <w:name w:val="页眉 字符"/>
    <w:basedOn w:val="5"/>
    <w:link w:val="4"/>
    <w:qFormat/>
    <w:uiPriority w:val="0"/>
    <w:rPr>
      <w:rFonts w:asciiTheme="minorHAnsi" w:hAnsiTheme="minorHAnsi" w:eastAsiaTheme="minorEastAsia" w:cstheme="minorBidi"/>
      <w:kern w:val="2"/>
      <w:sz w:val="18"/>
      <w:szCs w:val="18"/>
    </w:rPr>
  </w:style>
  <w:style w:type="character" w:customStyle="1" w:styleId="15">
    <w:name w:val="页脚 字符"/>
    <w:basedOn w:val="5"/>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645</Characters>
  <Lines>5</Lines>
  <Paragraphs>1</Paragraphs>
  <TotalTime>0</TotalTime>
  <ScaleCrop>false</ScaleCrop>
  <LinksUpToDate>false</LinksUpToDate>
  <CharactersWithSpaces>756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Administrator</cp:lastModifiedBy>
  <dcterms:modified xsi:type="dcterms:W3CDTF">2023-10-07T12:38:49Z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67D522A6319948A78273FD473E74F1C8</vt:lpwstr>
  </property>
</Properties>
</file>