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pacing w:val="-10"/>
          <w:kern w:val="0"/>
          <w:sz w:val="32"/>
          <w:szCs w:val="32"/>
          <w:lang w:val="zh-CN" w:eastAsia="zh-CN"/>
        </w:rPr>
      </w:pPr>
      <w:r>
        <w:rPr>
          <w:rFonts w:hint="default" w:ascii="黑体" w:hAnsi="黑体" w:eastAsia="黑体" w:cs="黑体"/>
          <w:spacing w:val="-1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zh-CN"/>
        </w:rPr>
        <w:t>国家级、省级、市级农民教育培训示范基地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zh-CN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  <w:t>国家级(1家)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1.山西潞玉种业股份有限公司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  <w:t>省级(9家)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2.山西振东健康产业集团有限公司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3.山西上党振兴现代农业集团有限公司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4.山西多维牧业有限公司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5.沁源县沁丰薯业有限公司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6.长治职业技术学院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7.长治市易淘职业培训学校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8.长治县红都生态种植专业合作社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9.长子县生贵式大棚专业合作社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10.山西沁州黄小米集团有限公司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zh-CN"/>
        </w:rPr>
        <w:t>市级(22家)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11.长治市伯乐职业培训学校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12.山西盘古农牧科技有限公司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13.长子县轩阳物流有限公司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14.壶关县绍良黑红种养专业合作社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15.壶关县强强种养专业合作社联合社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16.潞州区菁华苑职业培训学校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17.长治市光宇职业培训学校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18.长治市裕丰农业科技发展股份有限公司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19.长治县神农生态种养园专业合作社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20.潞城区职业高级中学校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21.屯留县助民农业科技有限公司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22.山西紫团生物科技有限公司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23.长治市万顷园农林科技专业合作社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24.平顺县职业高级中学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25.平顺县麦丰电子商务有限公司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26.武乡县教师进修学校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27.武乡县新特农种植专业合作社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28.襄垣县职业技术学校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29.山西天下襄农业科技开发有限公司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30.襄垣县绿海养殖专业合作社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31.黎城县华丰农民专业合作社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32.山西鑫农奥利种业有限公司</w:t>
      </w:r>
    </w:p>
    <w:p/>
    <w:sectPr>
      <w:footerReference r:id="rId5" w:type="default"/>
      <w:pgSz w:w="12120" w:h="16990"/>
      <w:pgMar w:top="1444" w:right="1818" w:bottom="1809" w:left="1559" w:header="0" w:footer="15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TU3NDc5NGJmYmQzYTY4MmZmYzJhYzBlMTdiZGQifQ=="/>
  </w:docVars>
  <w:rsids>
    <w:rsidRoot w:val="00000000"/>
    <w:rsid w:val="6FD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2024-03-25T03:38:14Z</dcterms:created>
  <dc:creator>Administrator</dc:creator>
  <cp:lastModifiedBy>Stronger</cp:lastModifiedBy>
  <dcterms:modified xsi:type="dcterms:W3CDTF">2024-03-25T03:38:27Z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A0BDF174D78A4690922CDB5B02C18C2B_12</vt:lpwstr>
  </property>
</Properties>
</file>