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BC8" w:rsidRPr="00783CC7" w:rsidRDefault="00067BC8" w:rsidP="00067BC8">
      <w:pPr>
        <w:spacing w:line="300" w:lineRule="exact"/>
        <w:ind w:right="601"/>
        <w:jc w:val="right"/>
        <w:rPr>
          <w:rFonts w:ascii="华文中宋" w:eastAsia="华文中宋" w:hAnsi="华文中宋" w:cs="华文仿宋"/>
          <w:sz w:val="30"/>
          <w:szCs w:val="30"/>
        </w:rPr>
      </w:pPr>
      <w:r w:rsidRPr="00783CC7">
        <w:rPr>
          <w:rFonts w:ascii="华文中宋" w:eastAsia="华文中宋" w:hAnsi="华文中宋" w:cs="华文仿宋" w:hint="eastAsia"/>
          <w:sz w:val="30"/>
          <w:szCs w:val="30"/>
        </w:rPr>
        <w:t xml:space="preserve">      </w:t>
      </w:r>
    </w:p>
    <w:p w:rsidR="00067BC8" w:rsidRPr="00783CC7" w:rsidRDefault="00067BC8" w:rsidP="00067BC8">
      <w:pPr>
        <w:jc w:val="right"/>
        <w:rPr>
          <w:rFonts w:ascii="华文中宋" w:eastAsia="华文中宋" w:hAnsi="华文中宋" w:cs="华文仿宋"/>
          <w:sz w:val="30"/>
          <w:szCs w:val="30"/>
        </w:rPr>
      </w:pPr>
      <w:proofErr w:type="gramStart"/>
      <w:r w:rsidRPr="00783CC7">
        <w:rPr>
          <w:rFonts w:ascii="华文中宋" w:eastAsia="华文中宋" w:hAnsi="华文中宋" w:cs="华文仿宋" w:hint="eastAsia"/>
          <w:sz w:val="30"/>
          <w:szCs w:val="30"/>
        </w:rPr>
        <w:t>潞城环函〔2021〕</w:t>
      </w:r>
      <w:proofErr w:type="gramEnd"/>
      <w:r>
        <w:rPr>
          <w:rFonts w:ascii="华文中宋" w:eastAsia="华文中宋" w:hAnsi="华文中宋" w:cs="华文仿宋" w:hint="eastAsia"/>
          <w:sz w:val="30"/>
          <w:szCs w:val="30"/>
        </w:rPr>
        <w:t>58</w:t>
      </w:r>
      <w:r w:rsidRPr="00783CC7">
        <w:rPr>
          <w:rFonts w:ascii="华文中宋" w:eastAsia="华文中宋" w:hAnsi="华文中宋" w:cs="华文仿宋" w:hint="eastAsia"/>
          <w:sz w:val="30"/>
          <w:szCs w:val="30"/>
        </w:rPr>
        <w:t>号</w:t>
      </w:r>
    </w:p>
    <w:p w:rsidR="00067BC8" w:rsidRPr="00783CC7" w:rsidRDefault="00067BC8" w:rsidP="00067BC8">
      <w:pPr>
        <w:tabs>
          <w:tab w:val="center" w:pos="4156"/>
          <w:tab w:val="left" w:pos="4860"/>
          <w:tab w:val="left" w:pos="5610"/>
        </w:tabs>
        <w:spacing w:line="240" w:lineRule="exact"/>
        <w:jc w:val="left"/>
        <w:rPr>
          <w:rFonts w:ascii="华文中宋" w:eastAsia="华文中宋" w:hAnsi="华文中宋"/>
          <w:b/>
          <w:bCs/>
          <w:sz w:val="36"/>
          <w:szCs w:val="36"/>
        </w:rPr>
      </w:pPr>
      <w:r w:rsidRPr="00783CC7">
        <w:rPr>
          <w:rFonts w:ascii="华文中宋" w:eastAsia="华文中宋" w:hAnsi="华文中宋"/>
          <w:b/>
          <w:bCs/>
          <w:sz w:val="36"/>
          <w:szCs w:val="36"/>
        </w:rPr>
        <w:tab/>
      </w:r>
      <w:r w:rsidRPr="00783CC7">
        <w:rPr>
          <w:rFonts w:ascii="华文中宋" w:eastAsia="华文中宋" w:hAnsi="华文中宋" w:hint="eastAsia"/>
          <w:b/>
          <w:bCs/>
          <w:sz w:val="36"/>
          <w:szCs w:val="36"/>
        </w:rPr>
        <w:t xml:space="preserve"> </w:t>
      </w:r>
      <w:r w:rsidRPr="00783CC7">
        <w:rPr>
          <w:rFonts w:ascii="华文中宋" w:eastAsia="华文中宋" w:hAnsi="华文中宋"/>
          <w:b/>
          <w:bCs/>
          <w:sz w:val="36"/>
          <w:szCs w:val="36"/>
        </w:rPr>
        <w:tab/>
      </w:r>
      <w:r>
        <w:rPr>
          <w:rFonts w:ascii="华文中宋" w:eastAsia="华文中宋" w:hAnsi="华文中宋"/>
          <w:b/>
          <w:bCs/>
          <w:sz w:val="36"/>
          <w:szCs w:val="36"/>
        </w:rPr>
        <w:tab/>
      </w:r>
    </w:p>
    <w:p w:rsidR="00067BC8" w:rsidRDefault="00067BC8" w:rsidP="00067BC8">
      <w:pPr>
        <w:spacing w:line="660" w:lineRule="exact"/>
        <w:jc w:val="center"/>
        <w:textAlignment w:val="baseline"/>
        <w:rPr>
          <w:rFonts w:ascii="方正小标宋简体" w:eastAsia="方正小标宋简体" w:hAnsi="华文中宋" w:cs="华文中宋"/>
          <w:bCs/>
          <w:sz w:val="44"/>
          <w:szCs w:val="44"/>
        </w:rPr>
      </w:pPr>
      <w:r>
        <w:rPr>
          <w:rFonts w:ascii="方正小标宋简体" w:eastAsia="方正小标宋简体" w:hAnsi="华文中宋" w:cs="华文中宋" w:hint="eastAsia"/>
          <w:bCs/>
          <w:sz w:val="44"/>
          <w:szCs w:val="44"/>
        </w:rPr>
        <w:t>关于“长治市</w:t>
      </w:r>
      <w:proofErr w:type="gramStart"/>
      <w:r>
        <w:rPr>
          <w:rFonts w:ascii="方正小标宋简体" w:eastAsia="方正小标宋简体" w:hAnsi="华文中宋" w:cs="华文中宋" w:hint="eastAsia"/>
          <w:bCs/>
          <w:sz w:val="44"/>
          <w:szCs w:val="44"/>
        </w:rPr>
        <w:t>潞</w:t>
      </w:r>
      <w:proofErr w:type="gramEnd"/>
      <w:r>
        <w:rPr>
          <w:rFonts w:ascii="方正小标宋简体" w:eastAsia="方正小标宋简体" w:hAnsi="华文中宋" w:cs="华文中宋" w:hint="eastAsia"/>
          <w:bCs/>
          <w:sz w:val="44"/>
          <w:szCs w:val="44"/>
        </w:rPr>
        <w:t>城区</w:t>
      </w:r>
      <w:proofErr w:type="gramStart"/>
      <w:r>
        <w:rPr>
          <w:rFonts w:ascii="方正小标宋简体" w:eastAsia="方正小标宋简体" w:hAnsi="华文中宋" w:cs="华文中宋" w:hint="eastAsia"/>
          <w:bCs/>
          <w:sz w:val="44"/>
          <w:szCs w:val="44"/>
        </w:rPr>
        <w:t>宸</w:t>
      </w:r>
      <w:proofErr w:type="gramEnd"/>
      <w:r>
        <w:rPr>
          <w:rFonts w:ascii="方正小标宋简体" w:eastAsia="方正小标宋简体" w:hAnsi="华文中宋" w:cs="华文中宋" w:hint="eastAsia"/>
          <w:bCs/>
          <w:sz w:val="44"/>
          <w:szCs w:val="44"/>
        </w:rPr>
        <w:t>宇</w:t>
      </w:r>
      <w:proofErr w:type="gramStart"/>
      <w:r>
        <w:rPr>
          <w:rFonts w:ascii="方正小标宋简体" w:eastAsia="方正小标宋简体" w:hAnsi="华文中宋" w:cs="华文中宋" w:hint="eastAsia"/>
          <w:bCs/>
          <w:sz w:val="44"/>
          <w:szCs w:val="44"/>
        </w:rPr>
        <w:t>砼</w:t>
      </w:r>
      <w:proofErr w:type="gramEnd"/>
      <w:r>
        <w:rPr>
          <w:rFonts w:ascii="方正小标宋简体" w:eastAsia="方正小标宋简体" w:hAnsi="华文中宋" w:cs="华文中宋" w:hint="eastAsia"/>
          <w:bCs/>
          <w:sz w:val="44"/>
          <w:szCs w:val="44"/>
        </w:rPr>
        <w:t>料有限公司建筑</w:t>
      </w:r>
      <w:r>
        <w:rPr>
          <w:rFonts w:ascii="方正小标宋简体" w:eastAsia="方正小标宋简体" w:hAnsi="华文中宋" w:cs="华文中宋" w:hint="eastAsia"/>
          <w:bCs/>
          <w:spacing w:val="-20"/>
          <w:sz w:val="44"/>
          <w:szCs w:val="44"/>
        </w:rPr>
        <w:t>垃圾回收再利用项目”环境影响报告表的批</w:t>
      </w:r>
      <w:r>
        <w:rPr>
          <w:rFonts w:ascii="方正小标宋简体" w:eastAsia="方正小标宋简体" w:hAnsi="华文中宋" w:cs="华文中宋" w:hint="eastAsia"/>
          <w:bCs/>
          <w:sz w:val="44"/>
          <w:szCs w:val="44"/>
        </w:rPr>
        <w:t>复</w:t>
      </w:r>
    </w:p>
    <w:p w:rsidR="00067BC8" w:rsidRDefault="00067BC8" w:rsidP="00067BC8">
      <w:pPr>
        <w:spacing w:line="660" w:lineRule="exact"/>
        <w:jc w:val="center"/>
        <w:textAlignment w:val="baseline"/>
        <w:rPr>
          <w:rFonts w:ascii="方正小标宋简体" w:eastAsia="方正小标宋简体" w:hAnsi="华文中宋" w:cs="华文中宋"/>
          <w:bCs/>
          <w:sz w:val="44"/>
          <w:szCs w:val="44"/>
        </w:rPr>
      </w:pPr>
    </w:p>
    <w:p w:rsidR="00067BC8" w:rsidRDefault="00067BC8" w:rsidP="00067BC8">
      <w:pPr>
        <w:jc w:val="left"/>
        <w:rPr>
          <w:rFonts w:ascii="仿宋_GB2312" w:eastAsia="仿宋_GB2312" w:hAnsi="宋体" w:cs="仿宋_GB2312"/>
          <w:sz w:val="32"/>
          <w:szCs w:val="32"/>
        </w:rPr>
      </w:pPr>
      <w:r>
        <w:rPr>
          <w:rFonts w:ascii="仿宋_GB2312" w:eastAsia="仿宋_GB2312" w:hAnsi="宋体" w:cs="仿宋_GB2312" w:hint="eastAsia"/>
          <w:sz w:val="32"/>
          <w:szCs w:val="32"/>
        </w:rPr>
        <w:t>长治市</w:t>
      </w:r>
      <w:proofErr w:type="gramStart"/>
      <w:r>
        <w:rPr>
          <w:rFonts w:ascii="仿宋_GB2312" w:eastAsia="仿宋_GB2312" w:hAnsi="宋体" w:cs="仿宋_GB2312" w:hint="eastAsia"/>
          <w:sz w:val="32"/>
          <w:szCs w:val="32"/>
        </w:rPr>
        <w:t>潞</w:t>
      </w:r>
      <w:proofErr w:type="gramEnd"/>
      <w:r>
        <w:rPr>
          <w:rFonts w:ascii="仿宋_GB2312" w:eastAsia="仿宋_GB2312" w:hAnsi="宋体" w:cs="仿宋_GB2312" w:hint="eastAsia"/>
          <w:sz w:val="32"/>
          <w:szCs w:val="32"/>
        </w:rPr>
        <w:t>城区</w:t>
      </w:r>
      <w:proofErr w:type="gramStart"/>
      <w:r>
        <w:rPr>
          <w:rFonts w:ascii="仿宋_GB2312" w:eastAsia="仿宋_GB2312" w:hAnsi="宋体" w:cs="仿宋_GB2312" w:hint="eastAsia"/>
          <w:sz w:val="32"/>
          <w:szCs w:val="32"/>
        </w:rPr>
        <w:t>宸</w:t>
      </w:r>
      <w:proofErr w:type="gramEnd"/>
      <w:r>
        <w:rPr>
          <w:rFonts w:ascii="仿宋_GB2312" w:eastAsia="仿宋_GB2312" w:hAnsi="宋体" w:cs="仿宋_GB2312" w:hint="eastAsia"/>
          <w:sz w:val="32"/>
          <w:szCs w:val="32"/>
        </w:rPr>
        <w:t>宇</w:t>
      </w:r>
      <w:proofErr w:type="gramStart"/>
      <w:r>
        <w:rPr>
          <w:rFonts w:ascii="仿宋_GB2312" w:eastAsia="仿宋_GB2312" w:hAnsi="宋体" w:cs="仿宋_GB2312" w:hint="eastAsia"/>
          <w:sz w:val="32"/>
          <w:szCs w:val="32"/>
        </w:rPr>
        <w:t>砼</w:t>
      </w:r>
      <w:proofErr w:type="gramEnd"/>
      <w:r>
        <w:rPr>
          <w:rFonts w:ascii="仿宋_GB2312" w:eastAsia="仿宋_GB2312" w:hAnsi="宋体" w:cs="仿宋_GB2312" w:hint="eastAsia"/>
          <w:sz w:val="32"/>
          <w:szCs w:val="32"/>
        </w:rPr>
        <w:t>料有限公司：</w:t>
      </w:r>
    </w:p>
    <w:p w:rsidR="00067BC8" w:rsidRDefault="00067BC8" w:rsidP="00067BC8">
      <w:pPr>
        <w:spacing w:line="500" w:lineRule="exact"/>
        <w:ind w:right="470"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你公司报送的《关于“</w:t>
      </w:r>
      <w:bookmarkStart w:id="0" w:name="_GoBack"/>
      <w:r>
        <w:rPr>
          <w:rFonts w:ascii="仿宋_GB2312" w:eastAsia="仿宋_GB2312" w:hAnsi="宋体" w:cs="仿宋_GB2312" w:hint="eastAsia"/>
          <w:sz w:val="32"/>
          <w:szCs w:val="32"/>
        </w:rPr>
        <w:t>长治市潞城区宸宇砼料有限公司建筑垃圾回收再利用项目</w:t>
      </w:r>
      <w:bookmarkEnd w:id="0"/>
      <w:r>
        <w:rPr>
          <w:rFonts w:ascii="仿宋_GB2312" w:eastAsia="仿宋_GB2312" w:hAnsi="宋体" w:cs="仿宋_GB2312" w:hint="eastAsia"/>
          <w:sz w:val="32"/>
          <w:szCs w:val="32"/>
        </w:rPr>
        <w:t>”环境影响报告表》已收悉（以下简称报告表）。2021年9月6日经局务会研究,现批复如下：</w:t>
      </w:r>
    </w:p>
    <w:p w:rsidR="00067BC8" w:rsidRDefault="00067BC8" w:rsidP="00067BC8">
      <w:pPr>
        <w:spacing w:line="500" w:lineRule="exact"/>
        <w:ind w:right="470"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一、该项目位于长治市</w:t>
      </w:r>
      <w:proofErr w:type="gramStart"/>
      <w:r>
        <w:rPr>
          <w:rFonts w:ascii="仿宋_GB2312" w:eastAsia="仿宋_GB2312" w:hAnsi="宋体" w:cs="仿宋_GB2312" w:hint="eastAsia"/>
          <w:sz w:val="32"/>
          <w:szCs w:val="32"/>
        </w:rPr>
        <w:t>潞</w:t>
      </w:r>
      <w:proofErr w:type="gramEnd"/>
      <w:r>
        <w:rPr>
          <w:rFonts w:ascii="仿宋_GB2312" w:eastAsia="仿宋_GB2312" w:hAnsi="宋体" w:cs="仿宋_GB2312" w:hint="eastAsia"/>
          <w:sz w:val="32"/>
          <w:szCs w:val="32"/>
        </w:rPr>
        <w:t>城区微子镇</w:t>
      </w:r>
      <w:proofErr w:type="gramStart"/>
      <w:r>
        <w:rPr>
          <w:rFonts w:ascii="仿宋_GB2312" w:eastAsia="仿宋_GB2312" w:hAnsi="宋体" w:cs="仿宋_GB2312" w:hint="eastAsia"/>
          <w:sz w:val="32"/>
          <w:szCs w:val="32"/>
        </w:rPr>
        <w:t>王都庄村</w:t>
      </w:r>
      <w:proofErr w:type="gramEnd"/>
      <w:r>
        <w:rPr>
          <w:rFonts w:ascii="仿宋_GB2312" w:eastAsia="仿宋_GB2312" w:hAnsi="宋体" w:cs="仿宋_GB2312" w:hint="eastAsia"/>
          <w:sz w:val="32"/>
          <w:szCs w:val="32"/>
        </w:rPr>
        <w:t xml:space="preserve">，占地面积为4700平方米，项目总投资500万元，其中环保投资为20万元，占工程总投资的4%。                       </w:t>
      </w:r>
    </w:p>
    <w:p w:rsidR="00067BC8" w:rsidRDefault="00067BC8" w:rsidP="00067BC8">
      <w:pPr>
        <w:spacing w:line="500" w:lineRule="exact"/>
        <w:ind w:right="470"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二、在落实环境影响报告表提出的各项环境保护措施和下述要求的前提下，综合考虑各方面的因素，从环境保护角度分析，我局同意该项目建设。</w:t>
      </w:r>
    </w:p>
    <w:p w:rsidR="00067BC8" w:rsidRDefault="00067BC8" w:rsidP="00067BC8">
      <w:pPr>
        <w:spacing w:line="580" w:lineRule="exact"/>
        <w:ind w:firstLineChars="200" w:firstLine="640"/>
        <w:textAlignment w:val="baseline"/>
        <w:rPr>
          <w:rFonts w:eastAsia="仿宋_GB2312"/>
          <w:sz w:val="32"/>
          <w:szCs w:val="32"/>
        </w:rPr>
      </w:pPr>
      <w:r>
        <w:rPr>
          <w:rFonts w:eastAsia="仿宋_GB2312"/>
          <w:sz w:val="32"/>
          <w:szCs w:val="32"/>
        </w:rPr>
        <w:t>三、在项目建设与运行过程中，必须对照《报告表》逐一落实各项环保对策措施，重点做好以下工作：</w:t>
      </w:r>
    </w:p>
    <w:p w:rsidR="00067BC8" w:rsidRDefault="00067BC8" w:rsidP="00067BC8">
      <w:pPr>
        <w:spacing w:line="580" w:lineRule="exact"/>
        <w:ind w:firstLineChars="200" w:firstLine="640"/>
        <w:textAlignment w:val="baseline"/>
        <w:rPr>
          <w:rFonts w:eastAsia="仿宋_GB2312"/>
          <w:sz w:val="32"/>
          <w:szCs w:val="32"/>
        </w:rPr>
      </w:pPr>
      <w:r>
        <w:rPr>
          <w:rFonts w:eastAsia="仿宋_GB2312"/>
          <w:sz w:val="32"/>
          <w:szCs w:val="32"/>
        </w:rPr>
        <w:t>1</w:t>
      </w:r>
      <w:r>
        <w:rPr>
          <w:rFonts w:eastAsia="仿宋_GB2312"/>
          <w:sz w:val="32"/>
          <w:szCs w:val="32"/>
        </w:rPr>
        <w:t>、建设全封闭</w:t>
      </w:r>
      <w:r>
        <w:rPr>
          <w:rFonts w:eastAsia="仿宋_GB2312" w:hint="eastAsia"/>
          <w:sz w:val="32"/>
          <w:szCs w:val="32"/>
        </w:rPr>
        <w:t>彩钢结构原料库和成品库</w:t>
      </w:r>
      <w:r>
        <w:rPr>
          <w:rFonts w:eastAsia="仿宋_GB2312"/>
          <w:sz w:val="32"/>
          <w:szCs w:val="32"/>
        </w:rPr>
        <w:t>并配备喷淋等</w:t>
      </w:r>
      <w:proofErr w:type="gramStart"/>
      <w:r>
        <w:rPr>
          <w:rFonts w:eastAsia="仿宋_GB2312"/>
          <w:sz w:val="32"/>
          <w:szCs w:val="32"/>
        </w:rPr>
        <w:t>有效抑尘措施</w:t>
      </w:r>
      <w:proofErr w:type="gramEnd"/>
      <w:r>
        <w:rPr>
          <w:rFonts w:eastAsia="仿宋_GB2312"/>
          <w:sz w:val="32"/>
          <w:szCs w:val="32"/>
        </w:rPr>
        <w:t>；</w:t>
      </w:r>
      <w:r>
        <w:rPr>
          <w:rFonts w:eastAsia="仿宋_GB2312" w:hint="eastAsia"/>
          <w:sz w:val="32"/>
          <w:szCs w:val="32"/>
        </w:rPr>
        <w:t>设置全封闭皮带；</w:t>
      </w:r>
      <w:r>
        <w:rPr>
          <w:rFonts w:eastAsia="仿宋_GB2312"/>
          <w:sz w:val="32"/>
          <w:szCs w:val="32"/>
        </w:rPr>
        <w:t>破碎机、</w:t>
      </w:r>
      <w:r>
        <w:rPr>
          <w:rFonts w:eastAsia="仿宋_GB2312" w:hint="eastAsia"/>
          <w:sz w:val="32"/>
          <w:szCs w:val="32"/>
        </w:rPr>
        <w:t>筛分、给料</w:t>
      </w:r>
      <w:proofErr w:type="gramStart"/>
      <w:r>
        <w:rPr>
          <w:rFonts w:eastAsia="仿宋_GB2312"/>
          <w:sz w:val="32"/>
          <w:szCs w:val="32"/>
        </w:rPr>
        <w:t>等产尘部位</w:t>
      </w:r>
      <w:proofErr w:type="gramEnd"/>
      <w:r>
        <w:rPr>
          <w:rFonts w:eastAsia="仿宋_GB2312"/>
          <w:sz w:val="32"/>
          <w:szCs w:val="32"/>
        </w:rPr>
        <w:t>设置布袋除尘器</w:t>
      </w:r>
      <w:r>
        <w:rPr>
          <w:rFonts w:eastAsia="仿宋_GB2312" w:hint="eastAsia"/>
          <w:sz w:val="32"/>
          <w:szCs w:val="32"/>
        </w:rPr>
        <w:t>处理后达标排放</w:t>
      </w:r>
      <w:r>
        <w:rPr>
          <w:rFonts w:eastAsia="仿宋_GB2312"/>
          <w:sz w:val="32"/>
          <w:szCs w:val="32"/>
        </w:rPr>
        <w:t>；限制汽车超载，并限速行驶，运输车辆加盖篷布，避免车辆沿路抛洒；对进出</w:t>
      </w:r>
      <w:r>
        <w:rPr>
          <w:rFonts w:eastAsia="仿宋_GB2312"/>
          <w:sz w:val="32"/>
          <w:szCs w:val="32"/>
        </w:rPr>
        <w:lastRenderedPageBreak/>
        <w:t>车辆轮胎进行清洗，保持路面的湿度和清洁度。</w:t>
      </w:r>
    </w:p>
    <w:p w:rsidR="00067BC8" w:rsidRDefault="00067BC8" w:rsidP="00067BC8">
      <w:pPr>
        <w:spacing w:line="580" w:lineRule="exact"/>
        <w:ind w:firstLineChars="200" w:firstLine="640"/>
        <w:textAlignment w:val="baseline"/>
        <w:rPr>
          <w:rFonts w:eastAsia="仿宋_GB2312"/>
          <w:sz w:val="32"/>
          <w:szCs w:val="32"/>
        </w:rPr>
      </w:pPr>
      <w:r>
        <w:rPr>
          <w:rFonts w:eastAsia="仿宋_GB2312"/>
          <w:sz w:val="32"/>
          <w:szCs w:val="32"/>
        </w:rPr>
        <w:t>2</w:t>
      </w:r>
      <w:r>
        <w:rPr>
          <w:rFonts w:eastAsia="仿宋_GB2312"/>
          <w:sz w:val="32"/>
          <w:szCs w:val="32"/>
        </w:rPr>
        <w:t>、生活污水排入</w:t>
      </w:r>
      <w:r>
        <w:rPr>
          <w:rFonts w:eastAsia="仿宋_GB2312" w:hint="eastAsia"/>
          <w:sz w:val="32"/>
          <w:szCs w:val="32"/>
        </w:rPr>
        <w:t>下水道；洗车废水经沉淀池沉淀后循环利用；初期雨水收集沉淀后</w:t>
      </w:r>
      <w:proofErr w:type="gramStart"/>
      <w:r>
        <w:rPr>
          <w:rFonts w:eastAsia="仿宋_GB2312" w:hint="eastAsia"/>
          <w:sz w:val="32"/>
          <w:szCs w:val="32"/>
        </w:rPr>
        <w:t>用于抑尘洒水</w:t>
      </w:r>
      <w:proofErr w:type="gramEnd"/>
      <w:r>
        <w:rPr>
          <w:rFonts w:eastAsia="仿宋_GB2312" w:hint="eastAsia"/>
          <w:sz w:val="32"/>
          <w:szCs w:val="32"/>
        </w:rPr>
        <w:t>；</w:t>
      </w:r>
      <w:r>
        <w:rPr>
          <w:rFonts w:eastAsia="仿宋_GB2312"/>
          <w:sz w:val="32"/>
          <w:szCs w:val="32"/>
        </w:rPr>
        <w:t>不得外排。</w:t>
      </w:r>
    </w:p>
    <w:p w:rsidR="00067BC8" w:rsidRDefault="00067BC8" w:rsidP="00067BC8">
      <w:pPr>
        <w:spacing w:line="580" w:lineRule="exact"/>
        <w:ind w:firstLine="585"/>
        <w:textAlignment w:val="baseline"/>
        <w:rPr>
          <w:rFonts w:eastAsia="仿宋_GB2312"/>
          <w:sz w:val="32"/>
          <w:szCs w:val="32"/>
        </w:rPr>
      </w:pPr>
      <w:r>
        <w:rPr>
          <w:rFonts w:eastAsia="仿宋_GB2312"/>
          <w:sz w:val="32"/>
          <w:szCs w:val="32"/>
        </w:rPr>
        <w:t>3</w:t>
      </w:r>
      <w:r>
        <w:rPr>
          <w:rFonts w:eastAsia="仿宋_GB2312"/>
          <w:sz w:val="32"/>
          <w:szCs w:val="32"/>
        </w:rPr>
        <w:t>、落实固体废物防治措施。生活垃圾分类收集后由环卫部门统一处置；废</w:t>
      </w:r>
      <w:r>
        <w:rPr>
          <w:rFonts w:eastAsia="仿宋_GB2312" w:hint="eastAsia"/>
          <w:sz w:val="32"/>
          <w:szCs w:val="32"/>
        </w:rPr>
        <w:t>矿物油、废油桶</w:t>
      </w:r>
      <w:r>
        <w:rPr>
          <w:rFonts w:eastAsia="仿宋_GB2312"/>
          <w:sz w:val="32"/>
          <w:szCs w:val="32"/>
        </w:rPr>
        <w:t>收集后</w:t>
      </w:r>
      <w:proofErr w:type="gramStart"/>
      <w:r>
        <w:rPr>
          <w:rFonts w:eastAsia="仿宋_GB2312"/>
          <w:sz w:val="32"/>
          <w:szCs w:val="32"/>
        </w:rPr>
        <w:t>暂存于危废暂存</w:t>
      </w:r>
      <w:proofErr w:type="gramEnd"/>
      <w:r>
        <w:rPr>
          <w:rFonts w:eastAsia="仿宋_GB2312"/>
          <w:sz w:val="32"/>
          <w:szCs w:val="32"/>
        </w:rPr>
        <w:t>间，交由有资质单位回收处置；其余固</w:t>
      </w:r>
      <w:proofErr w:type="gramStart"/>
      <w:r>
        <w:rPr>
          <w:rFonts w:eastAsia="仿宋_GB2312"/>
          <w:sz w:val="32"/>
          <w:szCs w:val="32"/>
        </w:rPr>
        <w:t>废按照</w:t>
      </w:r>
      <w:proofErr w:type="gramEnd"/>
      <w:r>
        <w:rPr>
          <w:rFonts w:eastAsia="仿宋_GB2312"/>
          <w:sz w:val="32"/>
          <w:szCs w:val="32"/>
        </w:rPr>
        <w:t>相关规定合理处置。</w:t>
      </w:r>
    </w:p>
    <w:p w:rsidR="00067BC8" w:rsidRDefault="00067BC8" w:rsidP="00067BC8">
      <w:pPr>
        <w:spacing w:line="580" w:lineRule="exact"/>
        <w:ind w:firstLine="585"/>
        <w:textAlignment w:val="baseline"/>
        <w:rPr>
          <w:rFonts w:eastAsia="仿宋_GB2312"/>
          <w:sz w:val="32"/>
          <w:szCs w:val="32"/>
        </w:rPr>
      </w:pPr>
      <w:r>
        <w:rPr>
          <w:rFonts w:eastAsia="仿宋_GB2312"/>
          <w:sz w:val="32"/>
          <w:szCs w:val="32"/>
        </w:rPr>
        <w:t>4</w:t>
      </w:r>
      <w:r>
        <w:rPr>
          <w:rFonts w:eastAsia="仿宋_GB2312"/>
          <w:sz w:val="32"/>
          <w:szCs w:val="32"/>
        </w:rPr>
        <w:t>、</w:t>
      </w:r>
      <w:r>
        <w:rPr>
          <w:rFonts w:eastAsia="仿宋_GB2312"/>
          <w:kern w:val="0"/>
          <w:sz w:val="32"/>
          <w:szCs w:val="32"/>
        </w:rPr>
        <w:t>选购低噪声设备，对各</w:t>
      </w:r>
      <w:proofErr w:type="gramStart"/>
      <w:r>
        <w:rPr>
          <w:rFonts w:eastAsia="仿宋_GB2312"/>
          <w:kern w:val="0"/>
          <w:sz w:val="32"/>
          <w:szCs w:val="32"/>
        </w:rPr>
        <w:t>类产噪采用</w:t>
      </w:r>
      <w:proofErr w:type="gramEnd"/>
      <w:r>
        <w:rPr>
          <w:rFonts w:eastAsia="仿宋_GB2312"/>
          <w:kern w:val="0"/>
          <w:sz w:val="32"/>
          <w:szCs w:val="32"/>
        </w:rPr>
        <w:t>相应的基础减震等消声降噪措施，确保噪声满足相关环境标准限制要求。</w:t>
      </w:r>
    </w:p>
    <w:p w:rsidR="00067BC8" w:rsidRDefault="00067BC8" w:rsidP="00067BC8">
      <w:pPr>
        <w:spacing w:line="580" w:lineRule="exact"/>
        <w:ind w:right="147" w:firstLineChars="150" w:firstLine="480"/>
        <w:rPr>
          <w:rFonts w:eastAsia="仿宋_GB2312"/>
          <w:sz w:val="32"/>
          <w:szCs w:val="32"/>
        </w:rPr>
      </w:pPr>
      <w:r>
        <w:rPr>
          <w:rFonts w:eastAsia="仿宋_GB2312"/>
          <w:sz w:val="32"/>
          <w:szCs w:val="32"/>
        </w:rPr>
        <w:t>四、项目实施必须严格执行配套建设的环境保护设施与主体工程同时设计、同时施工、同时投产使用的环境保护</w:t>
      </w:r>
      <w:r>
        <w:rPr>
          <w:rFonts w:eastAsia="仿宋_GB2312"/>
          <w:sz w:val="32"/>
          <w:szCs w:val="32"/>
        </w:rPr>
        <w:t>“</w:t>
      </w:r>
      <w:r>
        <w:rPr>
          <w:rFonts w:eastAsia="仿宋_GB2312"/>
          <w:sz w:val="32"/>
          <w:szCs w:val="32"/>
        </w:rPr>
        <w:t>三同时</w:t>
      </w:r>
      <w:r>
        <w:rPr>
          <w:rFonts w:eastAsia="仿宋_GB2312"/>
          <w:sz w:val="32"/>
          <w:szCs w:val="32"/>
        </w:rPr>
        <w:t>”</w:t>
      </w:r>
      <w:r>
        <w:rPr>
          <w:rFonts w:eastAsia="仿宋_GB2312"/>
          <w:sz w:val="32"/>
          <w:szCs w:val="32"/>
        </w:rPr>
        <w:t>制度。项目建成后要按规定程序实施竣工环境保护验收。</w:t>
      </w:r>
    </w:p>
    <w:p w:rsidR="00067BC8" w:rsidRDefault="00067BC8" w:rsidP="00067BC8">
      <w:pPr>
        <w:spacing w:line="580" w:lineRule="exact"/>
        <w:ind w:right="150" w:firstLineChars="200" w:firstLine="640"/>
        <w:rPr>
          <w:rFonts w:eastAsia="仿宋_GB2312"/>
          <w:sz w:val="32"/>
          <w:szCs w:val="32"/>
        </w:rPr>
      </w:pPr>
      <w:r>
        <w:rPr>
          <w:rFonts w:eastAsia="仿宋_GB2312"/>
          <w:sz w:val="32"/>
          <w:szCs w:val="32"/>
        </w:rPr>
        <w:t>五、你公司应在收到本批复后</w:t>
      </w:r>
      <w:r>
        <w:rPr>
          <w:rFonts w:eastAsia="仿宋_GB2312"/>
          <w:sz w:val="32"/>
          <w:szCs w:val="32"/>
        </w:rPr>
        <w:t>10</w:t>
      </w:r>
      <w:r>
        <w:rPr>
          <w:rFonts w:eastAsia="仿宋_GB2312"/>
          <w:sz w:val="32"/>
          <w:szCs w:val="32"/>
        </w:rPr>
        <w:t>个工作日内，将批准后的环</w:t>
      </w:r>
      <w:proofErr w:type="gramStart"/>
      <w:r>
        <w:rPr>
          <w:rFonts w:eastAsia="仿宋_GB2312"/>
          <w:sz w:val="32"/>
          <w:szCs w:val="32"/>
        </w:rPr>
        <w:t>评报告</w:t>
      </w:r>
      <w:proofErr w:type="gramEnd"/>
      <w:r>
        <w:rPr>
          <w:rFonts w:eastAsia="仿宋_GB2312"/>
          <w:sz w:val="32"/>
          <w:szCs w:val="32"/>
        </w:rPr>
        <w:t>表及批复送至长治市</w:t>
      </w:r>
      <w:proofErr w:type="gramStart"/>
      <w:r>
        <w:rPr>
          <w:rFonts w:eastAsia="仿宋_GB2312"/>
          <w:sz w:val="32"/>
          <w:szCs w:val="32"/>
        </w:rPr>
        <w:t>潞</w:t>
      </w:r>
      <w:proofErr w:type="gramEnd"/>
      <w:r>
        <w:rPr>
          <w:rFonts w:eastAsia="仿宋_GB2312"/>
          <w:sz w:val="32"/>
          <w:szCs w:val="32"/>
        </w:rPr>
        <w:t>城区环境监察大队，并按照规定接受各级环境保护行政主管部门的日常监督检查。</w:t>
      </w:r>
    </w:p>
    <w:p w:rsidR="00067BC8" w:rsidRDefault="00067BC8" w:rsidP="00067BC8">
      <w:pPr>
        <w:spacing w:line="580" w:lineRule="exact"/>
        <w:ind w:right="150" w:firstLineChars="200" w:firstLine="640"/>
        <w:jc w:val="right"/>
        <w:rPr>
          <w:rFonts w:eastAsia="仿宋_GB2312"/>
          <w:sz w:val="32"/>
          <w:szCs w:val="32"/>
        </w:rPr>
      </w:pPr>
    </w:p>
    <w:p w:rsidR="00CA24B9" w:rsidRDefault="00CA24B9" w:rsidP="00067BC8">
      <w:pPr>
        <w:spacing w:line="580" w:lineRule="exact"/>
        <w:ind w:right="150" w:firstLineChars="200" w:firstLine="640"/>
        <w:jc w:val="right"/>
        <w:rPr>
          <w:rFonts w:eastAsia="仿宋_GB2312" w:hint="eastAsia"/>
          <w:sz w:val="32"/>
          <w:szCs w:val="32"/>
        </w:rPr>
      </w:pPr>
    </w:p>
    <w:p w:rsidR="00CA24B9" w:rsidRDefault="00CA24B9" w:rsidP="00067BC8">
      <w:pPr>
        <w:spacing w:line="580" w:lineRule="exact"/>
        <w:ind w:right="150" w:firstLineChars="200" w:firstLine="640"/>
        <w:jc w:val="right"/>
        <w:rPr>
          <w:rFonts w:eastAsia="仿宋_GB2312" w:hint="eastAsia"/>
          <w:sz w:val="32"/>
          <w:szCs w:val="32"/>
        </w:rPr>
      </w:pPr>
    </w:p>
    <w:p w:rsidR="00067BC8" w:rsidRDefault="00067BC8" w:rsidP="00067BC8">
      <w:pPr>
        <w:spacing w:line="580" w:lineRule="exact"/>
        <w:ind w:right="150" w:firstLineChars="200" w:firstLine="640"/>
        <w:jc w:val="right"/>
        <w:rPr>
          <w:rFonts w:eastAsia="仿宋_GB2312"/>
          <w:sz w:val="32"/>
          <w:szCs w:val="32"/>
        </w:rPr>
      </w:pPr>
      <w:r>
        <w:rPr>
          <w:rFonts w:eastAsia="仿宋_GB2312"/>
          <w:sz w:val="32"/>
          <w:szCs w:val="32"/>
        </w:rPr>
        <w:t>长治市生态环境局潞城分局</w:t>
      </w:r>
    </w:p>
    <w:p w:rsidR="00067BC8" w:rsidRDefault="00067BC8" w:rsidP="00067BC8">
      <w:pPr>
        <w:spacing w:line="580" w:lineRule="exact"/>
        <w:ind w:right="800" w:firstLineChars="200" w:firstLine="640"/>
        <w:jc w:val="right"/>
        <w:rPr>
          <w:rFonts w:eastAsia="仿宋_GB2312"/>
          <w:sz w:val="32"/>
          <w:szCs w:val="32"/>
        </w:rPr>
      </w:pPr>
      <w:r>
        <w:rPr>
          <w:rFonts w:eastAsia="仿宋_GB2312"/>
          <w:sz w:val="32"/>
          <w:szCs w:val="32"/>
        </w:rPr>
        <w:t>2021</w:t>
      </w:r>
      <w:r>
        <w:rPr>
          <w:rFonts w:eastAsia="仿宋_GB2312"/>
          <w:sz w:val="32"/>
          <w:szCs w:val="32"/>
        </w:rPr>
        <w:t>年</w:t>
      </w:r>
      <w:r>
        <w:rPr>
          <w:rFonts w:eastAsia="仿宋_GB2312" w:hint="eastAsia"/>
          <w:sz w:val="32"/>
          <w:szCs w:val="32"/>
        </w:rPr>
        <w:t>10</w:t>
      </w:r>
      <w:r>
        <w:rPr>
          <w:rFonts w:eastAsia="仿宋_GB2312"/>
          <w:sz w:val="32"/>
          <w:szCs w:val="32"/>
        </w:rPr>
        <w:t>月</w:t>
      </w:r>
      <w:r>
        <w:rPr>
          <w:rFonts w:eastAsia="仿宋_GB2312" w:hint="eastAsia"/>
          <w:sz w:val="32"/>
          <w:szCs w:val="32"/>
        </w:rPr>
        <w:t>18</w:t>
      </w:r>
      <w:r>
        <w:rPr>
          <w:rFonts w:eastAsia="仿宋_GB2312"/>
          <w:sz w:val="32"/>
          <w:szCs w:val="32"/>
        </w:rPr>
        <w:t>日</w:t>
      </w:r>
    </w:p>
    <w:p w:rsidR="00067BC8" w:rsidRDefault="00067BC8" w:rsidP="00067BC8">
      <w:pPr>
        <w:spacing w:line="580" w:lineRule="exact"/>
      </w:pPr>
    </w:p>
    <w:p w:rsidR="00662338" w:rsidRDefault="00CA24B9" w:rsidP="00067BC8">
      <w:pPr>
        <w:jc w:val="center"/>
      </w:pPr>
    </w:p>
    <w:sectPr w:rsidR="00662338" w:rsidSect="00A458B1">
      <w:pgSz w:w="11906" w:h="16838"/>
      <w:pgMar w:top="2665" w:right="1797" w:bottom="1871"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7BC8"/>
    <w:rsid w:val="00067BC8"/>
    <w:rsid w:val="00230057"/>
    <w:rsid w:val="002F27CC"/>
    <w:rsid w:val="00C54AB2"/>
    <w:rsid w:val="00CA24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BC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Myth</dc:creator>
  <cp:lastModifiedBy>Myth</cp:lastModifiedBy>
  <cp:revision>2</cp:revision>
  <dcterms:created xsi:type="dcterms:W3CDTF">2021-10-18T03:39:00Z</dcterms:created>
  <dcterms:modified xsi:type="dcterms:W3CDTF">2021-10-18T03:42:00Z</dcterms:modified>
</cp:coreProperties>
</file>