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pacing w:line="570" w:lineRule="exact"/>
        <w:ind w:left="0" w:leftChars="0" w:right="0" w:rightChars="0" w:firstLine="420" w:firstLineChars="200"/>
        <w:jc w:val="both"/>
        <w:outlineLvl w:val="9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zh-TW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zh-TW" w:eastAsia="zh-CN"/>
        </w:rPr>
        <w:t>长治市潞城区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zh-TW"/>
        </w:rPr>
        <w:t>20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zh-TW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zh-TW" w:eastAsia="zh-CN"/>
        </w:rPr>
        <w:t>财政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zh-TW"/>
        </w:rPr>
        <w:t>决算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zh-TW" w:eastAsia="zh-CN"/>
        </w:rPr>
        <w:t>草案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pacing w:val="16"/>
          <w:kern w:val="0"/>
          <w:sz w:val="44"/>
          <w:szCs w:val="44"/>
          <w:lang w:val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zh-TW" w:eastAsia="zh-CN"/>
        </w:rPr>
        <w:t>情况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zh-TW"/>
        </w:rPr>
        <w:t>的</w:t>
      </w:r>
      <w:r>
        <w:rPr>
          <w:rFonts w:hint="default" w:ascii="Times New Roman" w:hAnsi="Times New Roman" w:eastAsia="方正小标宋简体" w:cs="Times New Roman"/>
          <w:color w:val="000000"/>
          <w:spacing w:val="16"/>
          <w:kern w:val="0"/>
          <w:sz w:val="44"/>
          <w:szCs w:val="44"/>
          <w:lang w:val="zh-TW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0" w:lineRule="exact"/>
        <w:ind w:left="0" w:leftChars="0" w:right="0" w:rightChars="0" w:firstLine="1458" w:firstLineChars="309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pacing w:val="16"/>
          <w:kern w:val="0"/>
          <w:sz w:val="44"/>
          <w:szCs w:val="4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——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20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年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月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日在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长治市潞城区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第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人大常委会第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十一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区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/>
        </w:rPr>
        <w:t xml:space="preserve">财政局局长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zh-TW" w:eastAsia="zh-CN"/>
        </w:rPr>
        <w:t>高小军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70" w:lineRule="exact"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政府委托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我向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区人大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常委会报告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潞城区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年财政决算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草案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</w:rPr>
        <w:t>请予审议。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年财政决算情况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潞城区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届人民代表大会第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次会议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  <w:t>审查批准了《关于潞城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  <w:t>20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  <w:t>年财政预算执行情况和20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</w:rPr>
        <w:t>年财政预算草案的报告》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。区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届人大常委会第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次会议又对20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年财政预算调整做出审查批准。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“十四五”开局之年，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财政部门在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委的坚强领导下，立足新发展阶段，贯彻新发展理念，加强资源统筹，优化支出结构，强化绩效管理，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促进了全区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社会平稳健康发展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根据安排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szCs w:val="32"/>
          <w:u w:val="none"/>
          <w:lang w:eastAsia="zh-CN"/>
        </w:rPr>
        <w:t>现已完成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年潞城区财政决算编制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一般公共预算收支平衡情况。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一般公共预算收支情况：一般公共预算收入112991万元，加返还性收入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2333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万元、一般性转移支付收入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76059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万元、专项转移支付收入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15652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万元、上年结余3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071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万元、一般债务转贷收入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6180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万元、动用预算稳定调节基金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4031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万元，收入总计2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20317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万元。一般公共预算支出171557万元，加上解支出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2706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万元、一般债务还本支出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4189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万元、安排预算稳定调节基金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27483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万元、结转下年支出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14382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万元，支出总计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220317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万元，202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年我区一般公共预算收支平衡。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1.一般公共预算收入。一般公共预算收入完成112991万元，占年初预算的131.55%，同比增长38.13%。其中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：税收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86579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万元，占年初预算的133.53%，同比增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65.64%；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非税收入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26412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占年初预算的125.47%，同比减少10.56%。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2.一般公共预算支出。一般公共预算支出171557万元，同比减少11.72%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，主要原因是较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2020年疫情期间上级特殊转移支付减少16816万元。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其中，一般公共服务支出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29808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万元，同比增长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1.34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%；公共安全支出8318万元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 同比减少1.39%；教育支出32208万元，同比减少5.26%；科学技术支出558万元，同比增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8.35%；文化旅游体育与传媒支出4105万元，同比增长10.95%；社会保障和就业支出30272万元，同比增长19.26%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卫生健康支出13053万元，同比减少9.82%；节能环保支出9339万元，同比减少52.24%；城乡社区支出6060万元，同比减少55.75%；农林水支出14771万元，同比减少16.19%；交通运输支出4158万元，同比减少48.14%；资源勘探信息等支出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1073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同比减少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83.03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%；商业服务业等支出4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万元，同比增长1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81.5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%；自然资源海洋气象等支出1513万元，同比减少35.97%；住房保障支出5595万元，同比增长14.35%；粮油物资储备支出656万元，同比增长17.77%；灾害防治及应急管理支出7153万元，同比增长88.58%；其他支出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1142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万元，同比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704.23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%；债务付息支出1283万元，同比增长1.83%；债务发行费用支出5万元，同比减少37.5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  <w:t>（二）政府性基金预算收支执行情况。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1.政府性基金预算收入。政府性基金预算收入完成56047万元，上级补助收入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1770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万元，上年结余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690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万元，地方政府专项债务转贷收入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20000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万元，政府性基金收入总计为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78507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2.政府性基金预算支出。政府性基金支出执行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pacing w:val="0"/>
          <w:sz w:val="32"/>
          <w:szCs w:val="32"/>
        </w:rPr>
        <w:t>7474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万元，年终结余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3767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万元，政府性基金支出总计为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78507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  <w:t>（三）社会保险基金预算收支执行情况。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年社会保险基金收入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22065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万元，支出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19689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万元，本年收支结余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376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万元，年末滚存结余2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556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  <w:t>（四）国有资本经营预算情况。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年国有资本经营收入（上级补助收入）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国有资本经营支出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-42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国有资本经营预算年终结余173万元，支出总计131万元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  <w:t>政府性债务情况。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7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年初，政府性债务余额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63608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万元（其中，一般债务3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8488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万元，专项债务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25120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年地方政府债务（转贷）收入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26180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万元（其中，一般债券收入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6180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万元，专项债券收入20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000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万元），地方政府债务还本支出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4189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其中通过再融资债券还本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4180万元，区级自有财力还本9万元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  <w:t>年末，政府性债务余额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>85599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  <w:t>万元（其中，一般债务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>40479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  <w:t>万元，专项债务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  <w:t>5120万元）。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年财政工作情况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区财政部门认真贯彻区委的决策部署，严格落实区人大决议和预算审查意见，坚持依法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  <w:lang w:eastAsia="zh-CN"/>
        </w:rPr>
        <w:t>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shd w:val="clear" w:color="auto" w:fill="FFFFFF"/>
        </w:rPr>
        <w:t>财、科学理财，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落实积极的财政政策，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统筹推进疫情防控和经济社会发展，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财政收入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首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创历史新高，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经济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高质量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发展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提供了积极有为的财政支撑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克服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各种困难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，全面完成财政预算收入和支出任务。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年，全区一般公共预算收入完成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112991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万元，占年初预算的1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%，同比增长3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超额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完成了202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年一般公共预算收入增长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</w:rPr>
        <w:t>%目标任务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增幅排名全市第三，并且首破10亿元大关。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全区一般公共预算支出1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71557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实现了“保工资、保运转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保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民生”的目标任务，保障了重点项目支出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，促进了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经济社会各项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事业的发展。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（二）抓住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shd w:val="clear" w:color="auto" w:fill="FFFFFF"/>
        </w:rPr>
        <w:t>政策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机遇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shd w:val="clear" w:color="auto" w:fill="FFFFFF"/>
          <w:lang w:eastAsia="zh-CN"/>
        </w:rPr>
        <w:t>助推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shd w:val="clear" w:color="auto" w:fill="FFFFFF"/>
        </w:rPr>
        <w:t>项目建设和实体经济发展。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坚持财政为经济发展服务的理念，争取政策，统筹资金，全力支持我区企业和项目建设。用好专项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债券资金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20000万元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，支持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长治市产教融合双创基地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区公共文化综合服务中心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翟店园区基础设施建设市政道路工程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长治市潞城区潞华食品工业园区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项目建设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；争取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一般债券资金2000万元，支持三大板块旅游公路、高山流水绿野漂流景区旅游公路等项目建设。争取省级革命老区资金625万元，支持北村八路军纪念馆周边基础设施建设。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积极落实国家、省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市减税降费政策及区委、区政府出台的支持企业推进高质量发展的一系列措施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累计新增减税降费3891.18万元，减轻了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实体经济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负担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val="en-US" w:eastAsia="zh-CN"/>
        </w:rPr>
        <w:t>（三）服务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“三农”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发展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，支持乡村振兴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和农业调产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健全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财政支农资金稳定增长机制，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土地出让净收益用于农业农村支出的比例达3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5.09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%。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支持巩固脱贫攻坚成果同乡村振兴有效衔接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农林水支出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14771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万元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支持了农业资源及生态保护、绿色有机旱作农业发展、农业生产救灾、改厕工程、高标准农田、耕地地力保护补贴、林业生态建设、辛安泉泉水出露区生态修复、调产补贴和农业保险保费补贴等。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安排村级公益事业“一事一议”财政奖补资金697.3万元，完成一事一议项目43个。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筹集灾后重建资金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7991万元，并及时完成保险秋后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理赔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700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万元，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支持受灾群众重建家园。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val="en-US" w:eastAsia="zh-CN"/>
        </w:rPr>
        <w:t>（四）加大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教育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投入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保障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教育均衡发展。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投入教育均衡化建设等项目资金10700万元，建设了一批教学基础设施，提高了我区城乡教学用房质量。积极落实各项教育政策，足额拨付各学段生均公用经费、学生资助资金、学生营养餐资金，保障了全区教育事业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val="en-US" w:eastAsia="zh-CN"/>
        </w:rPr>
        <w:t>（五）增进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民生福祉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完善公共保障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体系。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安排卫生健康相关支出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8901万元，保障了疫情防控和新冠疫苗接种、卫生健康系统基础设施改善、基本药物制度补助、基本公共卫生服务等；投入2046万元保障了全区城乡居民医疗保险及生活困难人员参保；投入20068万元保障了城乡居民基本养老、企业养老和机关事业养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保障环保支出，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提升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城乡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面貌颜值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拨付冬季清洁取暖“以气代煤”、“以电代煤”改造资金10680万元，全面实现了“建成区清洁取暖覆盖率达到100%，农村地区清洁取暖覆盖率达到81.5%”的目标任务；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投入环保资金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21057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万元，支持焦化行业压减过剩产能补偿、水污染防治及污水厂配套建设等。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val="en-US" w:eastAsia="zh-CN"/>
        </w:rPr>
        <w:t>（七）注重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文化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建设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lang w:eastAsia="zh-CN"/>
        </w:rPr>
        <w:t>完善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</w:rPr>
        <w:t>公共文化体系。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投入文物保护资金1439万元，对我区现存文物进行了修缮与维护。建设了农村书屋和农民文化活动场所，丰富了广大人民群众文化生活，提升了全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人民幸福指数。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</w:rPr>
        <w:t>深化财政改革，推进管理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  <w:lang w:eastAsia="zh-CN"/>
        </w:rPr>
        <w:t>科学规范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pacing w:val="0"/>
          <w:sz w:val="32"/>
          <w:szCs w:val="32"/>
        </w:rPr>
        <w:t>化。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iCs/>
          <w:color w:val="000000"/>
          <w:spacing w:val="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部署实施了预算管理一体化系统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，财政预算管理更加规范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加强财政监督。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全年财政投资评审项目62个，涉及金额65000万元，共计核减金额5500余万元；政府采购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254项，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金额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21121.58万元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，节约资金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788.08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万元，节约率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3.6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还对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各项惠民政策和专项资金以及会计工作进行了监督检查，规范了财务会计管理。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主任、各位副主任、各位委员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年预算执行情况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较好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财政改革发展各项工作取得新的进展，为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经济社会持续健康发展提供了重要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同时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预算执行和财政工作中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还面临着一些问题和挑战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一是财政收入增长空间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。受疫情和减税降费政策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等因素影响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，财政收入持续高速增长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压力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加大；二是收支平衡难度越来越大。刚性支出不断增加，新增可用财力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不足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，财政收支矛盾日益突出；三是财政管理能力仍需提升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财政预算管理还需加强。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受疫情冲击和国际国内经济形势影响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财政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工作任务更加艰巨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我们要以习近平新时代中国特色社会主义思想为指导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坚决贯彻区委的决策部署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自觉接受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人大的监督指导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，踔厉奋发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，笃行不怠，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奋力做好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财政各项工作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全方位推动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全区高质量发展做出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贡献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，以优异成绩迎接党的二十大胜利召开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 xml:space="preserve">! 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7967980</wp:posOffset>
                </wp:positionV>
                <wp:extent cx="514350" cy="352425"/>
                <wp:effectExtent l="4445" t="4445" r="1460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627.4pt;height:27.75pt;width:40.5pt;z-index:251659264;mso-width-relative:page;mso-height-relative:page;" fillcolor="#FFFFFF" filled="t" stroked="t" coordsize="21600,21600" o:gfxdata="UEsDBAoAAAAAAIdO4kAAAAAAAAAAAAAAAAAEAAAAZHJzL1BLAwQUAAAACACHTuJASbrnvNgAAAAK&#10;AQAADwAAAGRycy9kb3ducmV2LnhtbE2PwW7CMBBE75X4B2uRuFTFTigUpXEQQq16hvbSm4mXJGq8&#10;TmJDoF/f7ak97uxo5k2+ubpWXHAIjScNyVyBQCq9bajS8PH++rAGEaIha1pPqOGGATbF5C43mfUj&#10;7fFyiJXgEAqZ0VDH2GVShrJGZ8Lcd0j8O/nBmcjnUEk7mJHDXStTpVbSmYa4oTYd7mosvw5np8GP&#10;LzfnsVfp/ee3e9tt+/0p7bWeTRP1DCLiNf6Z4Ref0aFgpqM/kw2i1bB8YiPL6fKRJ7BhvWLlyMoi&#10;UQuQRS7/Tyh+AFBLAwQUAAAACACHTuJACjxvV+kBAADnAwAADgAAAGRycy9lMm9Eb2MueG1srVNL&#10;jhMxEN0jcQfLe9JJZoKglc5IEMIGAdLAASq2u9uSf3J50p0LwA1YsWHPuXKOKTsh82EzQvTCXXY9&#10;v6p6VV5ejdawnYqovWv4bDLlTDnhpXZdw79+2bx4xRkmcBKMd6rhe4X8avX82XIItZr73hupIiMS&#10;h/UQGt6nFOqqQtErCzjxQTlytj5aSLSNXSUjDMRuTTWfTl9Wg48yRC8UIp2uj06+Kvxtq0T61Lao&#10;EjMNp9xSWWNZt3mtVkuouwih1+KUBvxDFha0o6BnqjUkYDdR/0VltYgefZsmwtvKt60WqtRA1cym&#10;j6q57iGoUguJg+EsE/4/WvFx9zkyLal3nDmw1KLDj++Hn78Pv76xWZZnCFgT6joQLo1v/Jihp3Ok&#10;w1z12Eab/1QPIz8JvT+Lq8bEBB0uZpcXC/IIcl0s5pfzRWap7i6HiOm98pZlo+GRelckhd0HTEfo&#10;H0iOhd5oudHGlE3stm9NZDugPm/Kd2J/ADOODQ1/vaDYTACNW2sgkWkDCYCuK/Ee3MCnEefE1oD9&#10;MYHCkONDbXVSsVi9AvnOSZb2gUR29Bp4TsYqyZlR9HiyVZAJtHkKkrQzjiTMHTp2Iltp3I5Ek82t&#10;l3vq2k2IuutJ0tK3AqdpKtqfJj+P6/19Ib17n6t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brn&#10;vNgAAAAKAQAADwAAAAAAAAABACAAAAAiAAAAZHJzL2Rvd25yZXYueG1sUEsBAhQAFAAAAAgAh07i&#10;QAo8b1fpAQAA5wMAAA4AAAAAAAAAAQAgAAAAJwEAAGRycy9lMm9Eb2MueG1sUEsFBgAAAAAGAAYA&#10;WQEAAII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644" w:bottom="1984" w:left="1644" w:header="0" w:footer="1871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00" w:lineRule="exact"/>
      <w:ind w:left="0" w:leftChars="0" w:right="0" w:rightChars="0" w:firstLine="0" w:firstLineChars="0"/>
      <w:jc w:val="left"/>
      <w:textAlignment w:val="auto"/>
      <w:outlineLvl w:val="9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300" w:lineRule="exact"/>
                            <w:ind w:left="0" w:leftChars="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300" w:lineRule="exact"/>
                      <w:ind w:left="0" w:leftChars="0" w:right="0" w:rightChars="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80DA"/>
    <w:multiLevelType w:val="singleLevel"/>
    <w:tmpl w:val="594380D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ZTg5OTgyYzdlZjMyYTM0NTdhODgzZGRlNjRkOTcifQ=="/>
  </w:docVars>
  <w:rsids>
    <w:rsidRoot w:val="41A04501"/>
    <w:rsid w:val="023E60E5"/>
    <w:rsid w:val="0266626C"/>
    <w:rsid w:val="04247A46"/>
    <w:rsid w:val="04601CB9"/>
    <w:rsid w:val="049A6ACC"/>
    <w:rsid w:val="04B8088B"/>
    <w:rsid w:val="06E81BF7"/>
    <w:rsid w:val="073019F7"/>
    <w:rsid w:val="08957F11"/>
    <w:rsid w:val="0D0E084D"/>
    <w:rsid w:val="0DBA71F2"/>
    <w:rsid w:val="0EA30A81"/>
    <w:rsid w:val="0EA57708"/>
    <w:rsid w:val="0F0F0296"/>
    <w:rsid w:val="101C4859"/>
    <w:rsid w:val="110A3B4A"/>
    <w:rsid w:val="12C571DB"/>
    <w:rsid w:val="13CE1647"/>
    <w:rsid w:val="164B2F1A"/>
    <w:rsid w:val="16857056"/>
    <w:rsid w:val="1BB30DC6"/>
    <w:rsid w:val="1E076FCE"/>
    <w:rsid w:val="1FE67681"/>
    <w:rsid w:val="23804805"/>
    <w:rsid w:val="24FD0D0D"/>
    <w:rsid w:val="252C72A3"/>
    <w:rsid w:val="26A4023E"/>
    <w:rsid w:val="29A35749"/>
    <w:rsid w:val="2A7307D4"/>
    <w:rsid w:val="2AF37D02"/>
    <w:rsid w:val="2D776454"/>
    <w:rsid w:val="2E8B6A60"/>
    <w:rsid w:val="2EBB6131"/>
    <w:rsid w:val="320E1FF3"/>
    <w:rsid w:val="32CE7231"/>
    <w:rsid w:val="344F012B"/>
    <w:rsid w:val="353978DB"/>
    <w:rsid w:val="37F3029A"/>
    <w:rsid w:val="3906402A"/>
    <w:rsid w:val="3994380B"/>
    <w:rsid w:val="3B462913"/>
    <w:rsid w:val="41A04501"/>
    <w:rsid w:val="42B431B2"/>
    <w:rsid w:val="49467FBD"/>
    <w:rsid w:val="49A71337"/>
    <w:rsid w:val="4BA45843"/>
    <w:rsid w:val="4EBB21ED"/>
    <w:rsid w:val="4FF43F1C"/>
    <w:rsid w:val="50E023F9"/>
    <w:rsid w:val="521217FD"/>
    <w:rsid w:val="56B05AB0"/>
    <w:rsid w:val="597B6A86"/>
    <w:rsid w:val="5CFF1645"/>
    <w:rsid w:val="608823A1"/>
    <w:rsid w:val="63FC13A1"/>
    <w:rsid w:val="652C53ED"/>
    <w:rsid w:val="654A2815"/>
    <w:rsid w:val="665C4AAA"/>
    <w:rsid w:val="681A5F3F"/>
    <w:rsid w:val="6A9B5632"/>
    <w:rsid w:val="6D78444F"/>
    <w:rsid w:val="6DF63589"/>
    <w:rsid w:val="7532634B"/>
    <w:rsid w:val="755F4994"/>
    <w:rsid w:val="77466C8D"/>
    <w:rsid w:val="77BE04D4"/>
    <w:rsid w:val="77E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bsharetext"/>
    <w:basedOn w:val="5"/>
    <w:qFormat/>
    <w:uiPriority w:val="0"/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7">
    <w:name w:val="p16"/>
    <w:basedOn w:val="1"/>
    <w:qFormat/>
    <w:uiPriority w:val="0"/>
    <w:pPr>
      <w:widowControl/>
      <w:spacing w:line="500" w:lineRule="atLeast"/>
      <w:ind w:firstLine="420"/>
      <w:jc w:val="center"/>
    </w:pPr>
    <w:rPr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3188</Words>
  <Characters>3732</Characters>
  <Lines>0</Lines>
  <Paragraphs>0</Paragraphs>
  <TotalTime>0</TotalTime>
  <ScaleCrop>false</ScaleCrop>
  <LinksUpToDate>false</LinksUpToDate>
  <CharactersWithSpaces>3744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2020-06-03T02:25:00Z</dcterms:created>
  <dc:creator>Administrator</dc:creator>
  <cp:lastModifiedBy>Administrator</cp:lastModifiedBy>
  <cp:lastPrinted>2022-06-16T03:41:00Z</cp:lastPrinted>
  <dcterms:modified xsi:type="dcterms:W3CDTF">2022-09-06T03:11:43Z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5C363EFCB5C34CF7BFD89EBE811389A6</vt:lpwstr>
  </property>
</Properties>
</file>