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bidi w:val="0"/>
        <w:spacing w:line="600" w:lineRule="exact"/>
        <w:ind w:left="0" w:leftChars="0" w:right="0" w:rightChars="0" w:firstLine="420" w:firstLineChars="200"/>
        <w:jc w:val="both"/>
        <w:outlineLvl w:val="9"/>
        <w:rPr>
          <w:rFonts w:hint="default" w:ascii="Times New Roman" w:hAnsi="Times New Roman" w:cs="Times New Roman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8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zh-TW"/>
        </w:rPr>
        <w:t>关于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zh-TW" w:eastAsia="zh-CN"/>
        </w:rPr>
        <w:t>长治市潞城区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zh-TW"/>
        </w:rPr>
        <w:t>201</w:t>
      </w:r>
      <w:r>
        <w:rPr>
          <w:rFonts w:hint="eastAsia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en-US" w:eastAsia="zh-CN"/>
        </w:rPr>
        <w:t>9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zh-TW"/>
        </w:rPr>
        <w:t>年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zh-TW" w:eastAsia="zh-CN"/>
        </w:rPr>
        <w:t>财政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zh-TW"/>
        </w:rPr>
        <w:t>决算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en-US" w:eastAsia="zh-CN"/>
        </w:rPr>
        <w:t>（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zh-TW" w:eastAsia="zh-CN"/>
        </w:rPr>
        <w:t>草案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8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color w:val="000000"/>
          <w:spacing w:val="16"/>
          <w:kern w:val="0"/>
          <w:sz w:val="44"/>
          <w:szCs w:val="44"/>
          <w:lang w:val="zh-TW"/>
        </w:rPr>
      </w:pP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zh-TW" w:eastAsia="zh-CN"/>
        </w:rPr>
        <w:t>情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zh-TW" w:eastAsia="zh-CN"/>
        </w:rPr>
        <w:t>况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zh-TW"/>
        </w:rPr>
        <w:t>的</w:t>
      </w:r>
      <w:r>
        <w:rPr>
          <w:rFonts w:hint="default" w:ascii="Times New Roman" w:hAnsi="Times New Roman" w:eastAsia="方正小标宋简体" w:cs="Times New Roman"/>
          <w:color w:val="000000"/>
          <w:spacing w:val="0"/>
          <w:kern w:val="0"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color w:val="000000"/>
          <w:spacing w:val="16"/>
          <w:kern w:val="0"/>
          <w:sz w:val="44"/>
          <w:szCs w:val="44"/>
          <w:lang w:val="zh-TW"/>
        </w:rPr>
        <w:t>报</w:t>
      </w:r>
      <w:r>
        <w:rPr>
          <w:rFonts w:hint="default" w:ascii="Times New Roman" w:hAnsi="Times New Roman" w:eastAsia="方正小标宋简体" w:cs="Times New Roman"/>
          <w:color w:val="000000"/>
          <w:spacing w:val="16"/>
          <w:kern w:val="0"/>
          <w:sz w:val="44"/>
          <w:szCs w:val="44"/>
          <w:lang w:val="en-US" w:eastAsia="zh-CN"/>
        </w:rPr>
        <w:t xml:space="preserve"> </w:t>
      </w:r>
      <w:r>
        <w:rPr>
          <w:rFonts w:hint="default" w:ascii="Times New Roman" w:hAnsi="Times New Roman" w:eastAsia="方正小标宋简体" w:cs="Times New Roman"/>
          <w:color w:val="000000"/>
          <w:spacing w:val="16"/>
          <w:kern w:val="0"/>
          <w:sz w:val="44"/>
          <w:szCs w:val="44"/>
          <w:lang w:val="zh-TW"/>
        </w:rPr>
        <w:t>告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line="580" w:lineRule="exact"/>
        <w:ind w:left="0" w:leftChars="0" w:right="0" w:rightChars="0" w:firstLine="1458" w:firstLineChars="309"/>
        <w:jc w:val="both"/>
        <w:outlineLvl w:val="9"/>
        <w:rPr>
          <w:rFonts w:hint="default" w:ascii="Times New Roman" w:hAnsi="Times New Roman" w:eastAsia="方正小标宋简体" w:cs="Times New Roman"/>
          <w:color w:val="000000"/>
          <w:spacing w:val="16"/>
          <w:kern w:val="0"/>
          <w:sz w:val="44"/>
          <w:szCs w:val="44"/>
          <w:lang w:val="zh-TW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8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</w:pP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 w:eastAsia="zh-CN"/>
        </w:rPr>
        <w:t>──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  <w:t>20</w:t>
      </w:r>
      <w:r>
        <w:rPr>
          <w:rFonts w:hint="eastAsia" w:ascii="Times New Roman" w:hAnsi="Times New Roman" w:eastAsia="楷体_GB2312" w:cs="Times New Roman"/>
          <w:color w:val="000000"/>
          <w:kern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  <w:t>年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  <w:t>月</w:t>
      </w:r>
      <w:r>
        <w:rPr>
          <w:rFonts w:hint="eastAsia" w:ascii="Times New Roman" w:hAnsi="Times New Roman" w:eastAsia="楷体_GB2312" w:cs="Times New Roman"/>
          <w:color w:val="000000"/>
          <w:kern w:val="0"/>
          <w:sz w:val="32"/>
          <w:szCs w:val="32"/>
          <w:lang w:val="en-US" w:eastAsia="zh-CN"/>
        </w:rPr>
        <w:t>19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  <w:t>日在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 w:eastAsia="zh-CN"/>
        </w:rPr>
        <w:t>长治市潞城区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  <w:t>第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  <w:t>届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line="580" w:lineRule="exact"/>
        <w:ind w:left="0" w:leftChars="0" w:right="0" w:rightChars="0" w:firstLine="640" w:firstLineChars="200"/>
        <w:jc w:val="center"/>
        <w:outlineLvl w:val="9"/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</w:pP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  <w:t>人大常委会第</w:t>
      </w:r>
      <w:r>
        <w:rPr>
          <w:rFonts w:hint="eastAsia" w:ascii="Times New Roman" w:hAnsi="Times New Roman" w:eastAsia="楷体_GB2312" w:cs="Times New Roman"/>
          <w:color w:val="000000"/>
          <w:kern w:val="0"/>
          <w:sz w:val="32"/>
          <w:szCs w:val="32"/>
          <w:lang w:val="en-US" w:eastAsia="zh-CN"/>
        </w:rPr>
        <w:t>十二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  <w:t>次会议上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8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line="580" w:lineRule="exact"/>
        <w:ind w:right="0" w:rightChars="0"/>
        <w:jc w:val="center"/>
        <w:textAlignment w:val="auto"/>
        <w:outlineLvl w:val="9"/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 w:eastAsia="zh-CN"/>
        </w:rPr>
      </w:pP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 w:eastAsia="zh-CN"/>
        </w:rPr>
        <w:t>区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/>
        </w:rPr>
        <w:t xml:space="preserve">财政局局长  </w:t>
      </w:r>
      <w:r>
        <w:rPr>
          <w:rFonts w:hint="default" w:ascii="Times New Roman" w:hAnsi="Times New Roman" w:eastAsia="楷体_GB2312" w:cs="Times New Roman"/>
          <w:color w:val="000000"/>
          <w:kern w:val="0"/>
          <w:sz w:val="32"/>
          <w:szCs w:val="32"/>
          <w:lang w:val="zh-TW" w:eastAsia="zh-CN"/>
        </w:rPr>
        <w:t>高小军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pacing w:line="580" w:lineRule="exact"/>
        <w:ind w:left="0" w:leftChars="0" w:right="0" w:rightChars="0" w:firstLine="640" w:firstLineChars="200"/>
        <w:jc w:val="both"/>
        <w:outlineLvl w:val="9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zh-TW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</w:rPr>
        <w:t>主任、各位副主任、各位委员：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</w:rPr>
        <w:t>受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lang w:eastAsia="zh-CN"/>
        </w:rPr>
        <w:t>区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</w:rPr>
        <w:t>政府委托，我向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lang w:eastAsia="zh-CN"/>
        </w:rPr>
        <w:t>区人大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</w:rPr>
        <w:t>常委会报告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lang w:eastAsia="zh-CN"/>
        </w:rPr>
        <w:t>潞城区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</w:rPr>
        <w:t>201</w:t>
      </w:r>
      <w:r>
        <w:rPr>
          <w:rFonts w:hint="eastAsia" w:ascii="Times New Roman" w:hAnsi="Times New Roman" w:eastAsia="仿宋_GB2312" w:cs="Times New Roman"/>
          <w:bCs w:val="0"/>
          <w:color w:val="00000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</w:rPr>
        <w:t>年财政决算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lang w:eastAsia="zh-CN"/>
        </w:rPr>
        <w:t>草案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</w:rPr>
        <w:t>情况，请予审议。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黑体" w:cs="Times New Roman"/>
          <w:bCs w:val="0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黑体" w:cs="Times New Roman"/>
          <w:bCs w:val="0"/>
          <w:color w:val="000000"/>
          <w:sz w:val="32"/>
          <w:szCs w:val="32"/>
          <w:lang w:eastAsia="zh-CN"/>
        </w:rPr>
        <w:t>一、</w:t>
      </w:r>
      <w:r>
        <w:rPr>
          <w:rFonts w:hint="default" w:ascii="Times New Roman" w:hAnsi="Times New Roman" w:eastAsia="黑体" w:cs="Times New Roman"/>
          <w:bCs w:val="0"/>
          <w:color w:val="000000"/>
          <w:sz w:val="32"/>
          <w:szCs w:val="32"/>
          <w:lang w:val="en-US" w:eastAsia="zh-CN"/>
        </w:rPr>
        <w:t>201</w:t>
      </w:r>
      <w:r>
        <w:rPr>
          <w:rFonts w:hint="eastAsia" w:ascii="Times New Roman" w:hAnsi="Times New Roman" w:eastAsia="黑体" w:cs="Times New Roman"/>
          <w:bCs w:val="0"/>
          <w:color w:val="00000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黑体" w:cs="Times New Roman"/>
          <w:bCs w:val="0"/>
          <w:color w:val="000000"/>
          <w:sz w:val="32"/>
          <w:szCs w:val="32"/>
          <w:lang w:val="en-US" w:eastAsia="zh-CN"/>
        </w:rPr>
        <w:t>年财政决算情况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</w:rPr>
      </w:pP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潞城</w:t>
      </w:r>
      <w:r>
        <w:rPr>
          <w:rFonts w:hint="eastAsia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区一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届人民代表大会第</w:t>
      </w:r>
      <w:r>
        <w:rPr>
          <w:rFonts w:hint="eastAsia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val="en-US" w:eastAsia="zh-CN"/>
        </w:rPr>
        <w:t>一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次会议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</w:rPr>
        <w:t>审查批准了《关于潞城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市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</w:rPr>
        <w:t>201</w:t>
      </w:r>
      <w:r>
        <w:rPr>
          <w:rFonts w:hint="eastAsia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</w:rPr>
        <w:t>年财政预算执行情况和201</w:t>
      </w:r>
      <w:r>
        <w:rPr>
          <w:rFonts w:hint="eastAsia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</w:rPr>
        <w:t>年财政预算草案的报告》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none"/>
          <w:lang w:eastAsia="zh-CN"/>
        </w:rPr>
        <w:t>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届人大常委会第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none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次会议又对201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年财政支出预算调整做出审查批准。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一年来，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财政部门坚持新发展理念，按照高质量发展要求，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落实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积极财政政策，推进财税体制改革，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提升财政保障能力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为全区经济社会发展做出了贡献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。</w:t>
      </w:r>
      <w:r>
        <w:rPr>
          <w:rFonts w:hint="eastAsia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根据安排，</w:t>
      </w:r>
      <w:r>
        <w:rPr>
          <w:rFonts w:hint="default" w:ascii="Times New Roman" w:hAnsi="Times New Roman" w:eastAsia="仿宋_GB2312" w:cs="Times New Roman"/>
          <w:bCs w:val="0"/>
          <w:color w:val="000000"/>
          <w:sz w:val="32"/>
          <w:szCs w:val="32"/>
          <w:u w:val="none"/>
          <w:lang w:eastAsia="zh-CN"/>
        </w:rPr>
        <w:t>现已完成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</w:rPr>
        <w:t>201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u w:val="none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u w:val="none"/>
          <w:lang w:eastAsia="zh-CN"/>
        </w:rPr>
        <w:t>年潞城区财政决算编制，情况如下：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580" w:lineRule="exact"/>
        <w:ind w:left="0" w:leftChars="0" w:right="0" w:rightChars="0" w:firstLine="640" w:firstLineChars="200"/>
        <w:jc w:val="both"/>
        <w:textAlignment w:val="bottom"/>
        <w:outlineLvl w:val="9"/>
        <w:rPr>
          <w:rFonts w:hint="default" w:ascii="Times New Roman" w:hAnsi="Times New Roman" w:eastAsia="楷体_GB2312" w:cs="Times New Roman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000000"/>
          <w:sz w:val="32"/>
          <w:szCs w:val="32"/>
          <w:lang w:eastAsia="zh-CN"/>
        </w:rPr>
        <w:t>一般公共预算收支平衡情况。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一般公共预算收入79216万元，加返还性收入2333万元、一般性转移支付收入59992万元、专项转移支付收入41702万元、一般债务转贷收入5310万元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上年结余2880万元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收入总计191433万元。一般公共预算支出177255万元，加上解支出1268万元、一般债券还本支出1676万元、安排预算稳定调节基金8085万元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结转下年支出3149万元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支出总计191433万元，2019年我区一般公共预算收支平衡。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1.一般公共预算收入。一般公共预算收入完成79216万元，占年初预算的107.4%，同比增长16.53%。其中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税务部门完成收入63738万元，占年初预算的113.45%，同比增长29.85%；财政部门完成收入15478万元, 占年初预算的88.05%，同比减少18.08%。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2.一般公共预算支出。一般公共预算支出执行177255万元，占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预算的98.25%，同比增长23.9%。其中，一般公共服务支出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25764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预算的99.1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同比增长58.6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公共安全支出8995万元, 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预算的100%，同比增长13.43%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教育支出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30640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万元, 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预算的98.6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%，同比减少14.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科学技术支出1681万元, 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预算的100%，同比增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长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133.8%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文化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旅游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体育与传媒支出3410万元, 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预算的99.65%，同比减少0.23%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社会保障和就业支出22263万元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预算的96.85%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同比增长0.53%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卫生健康支出11876万元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预算的99.99%，同比增长0.15%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节能环保支出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15048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万元, 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95.21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%，同比增长10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城乡社区支出4397万元, 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预算的100%，同比减少28.29%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农林水支出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23473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万元, 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预算的98.62%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同比增长66.7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交通运输支出9355万元，占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预算的99.14%，同比增长109.28%；资源勘探信息等支出8754万元，占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预算的98.65%，同比增长57.56%；商业服务业等支出329万元，占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预算的90.14%，同比增长9.3%；金融支出24万元，占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预算的100%，同比减少91.78%；自然资源海洋气象等支出2517万元，占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预算的100%，同比减少9.49%；住房保障支出4435万元，占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预算的100%，同比增长237.52%；粮油物资储备支出492万元，占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预算的100%，同比减少12.61%；灾害防治及应急管理支出2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60万元，占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预算的10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%；其他支出456万元，占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预算的50.55%，同比减少70.16%；债务付息支出1086万元，占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调整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 xml:space="preserve">预算的100%，同比增长26.13%。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  <w:t>（二）政府性基金预算收支执行情况。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政府性基金预算收入。政府性基金预算收入完成47351万元，上级补助收入367万元，上年结余237万元，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地方政府专项债务转贷收入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12500万元，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政府性基金收入总计为60455万元。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政府性基金预算支出。政府性基金支出执行59013万元，上解上级支出14万元，地方政府专项债务还本支出500万元，年终结余928万元，政府性基金支出总计为60455万元。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  <w:t>（三）社会保险基金预算收支执行情况。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2019年社会保险基金收入15595万元，支出15640万元，本年收支结余-45万元，年末滚存结余2096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  <w:t>（四）国有资本经营预算</w:t>
      </w:r>
      <w:r>
        <w:rPr>
          <w:rFonts w:hint="eastAsia" w:ascii="Times New Roman" w:hAnsi="Times New Roman" w:eastAsia="楷体_GB2312" w:cs="Times New Roman"/>
          <w:b w:val="0"/>
          <w:bCs w:val="0"/>
          <w:color w:val="000000"/>
          <w:sz w:val="32"/>
          <w:szCs w:val="32"/>
          <w:lang w:eastAsia="zh-CN"/>
        </w:rPr>
        <w:t>情况</w:t>
      </w: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2019年国有资本经营预算收入（上级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补助收入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）6824万元，支出304万元，年终结余6520万元。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 w:val="0"/>
          <w:bCs w:val="0"/>
          <w:color w:val="000000"/>
          <w:sz w:val="32"/>
          <w:szCs w:val="32"/>
        </w:rPr>
        <w:t>（五）政府性债务情况。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2019年初，政府性债务余额33954万元（其中，一般债务32954万元，专项债务1000万元）。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本年地方政府债务（转贷）收入17810万元（其中，一般债券收入5310万元，专项债券收入12500万元），本年地方政府债务还本支出2176万元（其中，到期一般债券还本1676万元，到期专项债券还本500万元）。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2019年末，政府性债务余额49588万元（其中，一般债务36588万元，专项债务13000万元）。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lang w:val="en-US" w:eastAsia="zh-CN"/>
        </w:rPr>
        <w:t>2019年财政工作情况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2019年，全区上下认真贯彻落实区一届人大一次会议的有关决议，凝心聚力，攻坚克难，全区经济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稳步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发展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，社会事业蒸蒸日上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/>
        <w:spacing w:before="0" w:beforeAutospacing="0" w:after="0" w:afterAutospacing="0"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财政收入增量提质。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面对复杂的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经济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形势，财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税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部门积极应对减税降费、翟店镇纳税户外迁等减收因素的影响，科学研判形势，凝聚征收合力，细化征收措施，实施精准征收，圆满完成一般公共预算收入任务。2019年累计完成一般公共预算收入7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9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亿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元，占预算的107.40%，同比增长16.53%。其中，税务部门完成收入6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.4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亿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元，占预算的113.45%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同比增长29.85%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财政部门完成收入1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5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亿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元, 占预算的88.05%，同比减少18.08%。税收收入占一般公共预算收入的80.46%，财政收入结构进一步优化，收入质量明显提高。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扶持企业措施给力。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积极落实国家、省市减税降费政策及区委、区政府出台的支持企业推进高质量发展的一系列措施，支持实体经济发展。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兑现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27家企业或项目奖励资金5300万元，为锦纶短纤维等4个项目配套扶持资金3000万元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。为我区城南“双创”示范基地和东山国际“双创”基地提供建设补助资金2256万元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23"/>
          <w:sz w:val="32"/>
          <w:szCs w:val="32"/>
          <w:shd w:val="clear" w:color="auto" w:fill="FFFFFF"/>
        </w:rPr>
        <w:t>潞铁现代智慧物流产业园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筹措建设资金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23"/>
          <w:sz w:val="32"/>
          <w:szCs w:val="32"/>
          <w:shd w:val="clear" w:color="auto" w:fill="FFFFFF"/>
        </w:rPr>
        <w:t>5635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 xml:space="preserve">为经开区基础设施筹措建设资金4044万元。一大批转型发展项目为我区经济高质量发展集聚了后劲，为持续财源奠定了基础。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color w:val="000000"/>
          <w:sz w:val="32"/>
          <w:szCs w:val="32"/>
        </w:rPr>
        <w:t>财政支出保障有力。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</w:rPr>
        <w:t>坚持“量入为出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、有保有压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的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</w:rPr>
        <w:t>原则，进一步优化财政支出结构。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2019年我区一般公共预算支出执行17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7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亿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元，占预算的98.25%，同比增长23.90%。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不断加快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财政支出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进度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使财政资金迅速转化为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项目建设和经济发展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的动力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保障了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2019年区委区政府确定的10件惠民实事，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实现了“保工资、保运转、保基本民生”的目标。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交通道路方面，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拨付项目资金1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.2亿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保障了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“四好农村路”、林区林场道路和乡道养护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4000万元债券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建设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潞石线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旅游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公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路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拨付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100万元建设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店上至周武段战备路。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城市建设方面，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拨付资金1.5亿元，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保障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棚户区改造、公租房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建设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、市政管理、热电联产热力网扩建、世纪广场改造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潞康南路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晋水东巷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开通；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整合各级财政资金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1618万元，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实施环城排洪渠贯通工程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安排资金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1214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万元建设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乡镇生活垃圾转运站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争取上级资金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172万元，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建设城市生活垃圾填埋场渗滤液处理站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改善了城乡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生态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面貌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环境保护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方面，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整合各级财政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资金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10794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实施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冬季清洁取暖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工程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拨付资金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9818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保障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环保检测站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仪器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配备、人工湿地及多功能抑尘车运营、第二自来水厂建设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污水处理厂管网建设、除臭设施安装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和污水处理等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，保障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环保工作有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序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开展。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民生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改善方面，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投入财政资金2.2亿元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在全区公办幼儿园实施营养餐工程，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充实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幼儿教师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队伍，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改造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中小学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薄弱学校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，促进了全区教育均衡化发展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投入财政资金304万元，用于企业职工家属区“三供一业”分离移交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拨付资金245万元，建设潞城区第二敬老院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拨付资金352万元，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进行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职业技能培训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拨付资金1793万元，为医疗集团改善基础设施、购置医疗设备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城乡居民医疗保险、基本养老保险等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val="en-US" w:eastAsia="zh-CN"/>
        </w:rPr>
        <w:t>5项财政补助标准大幅提高，进一步提升了民生保障水平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乡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村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振兴方面，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投入5224万元，发展现代农业和农业生产救灾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投入资金770万元，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实施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森林植被恢复、林业生态保护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投入资金1507万元，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进行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通道绿化占地补偿、森林防火等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投入资金671万元，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推进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农村饮水安全巩固提升工程、大中型水库移民后期扶持项目、辛安泉重点保护区保护工程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解决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了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乡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7村5000人的农村饮水安全问题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配套专项资金1509万元，保障扶贫工作顺利开展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拨付资金6124万元，用于土地开发复垦、农村集体建设用地和宅基地确权、土地安置补偿等，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改善了农业农村生产生活条件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文化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事业方面，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投入资金2606万元，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进行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文物保护与开发，建设农村书屋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农民文化活动场所及送戏下乡，丰富了群众的文化生活。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“三基”建设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方面，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投入资金7198万元，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保障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乡镇机关基础设施均等化、村级组织运转、街道社区党建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等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工作经费，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落实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乡镇补贴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夯实了基层工作基础。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（四）财政管理规范高效。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按照“保工资、保运转、保民生、促转型”的原则，严格按照政府收支分类科目，规范专项收支和基金收支。努力克服财力不足的困难，提高预算编制的科学性和预见性，实现了“二上二下” 流程和预算精细化改革。下发《关于进一步加快财政支出进度有关问题的通知》，要求各乡镇、办事处、各部门和各业务股室进一步明确责任分工，加大预算执行力度，在保证财政资金安全和使用效益前提下，确保公共财政预算支出进度达到时序要求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制定债务管理办法和债务风险应急处置预案，落实隐性债务化解责任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。通过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置换债券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核销存量债务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积极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化解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存量债务。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修订了《长治市潞城区财政局内部控制基本制度》，排查梳理财政工作中的风险事项，确定各类风险点，并制定了优化机制、健全制度、加强管理的控制方法，实现了对财政资金全覆盖、无缝隙监管，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降低财政资金运行风险。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snapToGrid/>
        <w:spacing w:line="58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eastAsia="zh-CN"/>
        </w:rPr>
        <w:t>主任、各位副主任、各位委员，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2019年预算执行情况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较好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lang w:eastAsia="zh-CN"/>
        </w:rPr>
        <w:t>财政改革取得新进展，财政保障水平不断提升，有力促进了经济社会持续健康发展。同时，预算执行和财政工作中，还面临着一些问题和挑战，主要是财政增收基础不稳，刚性支出不减，“三保”支出压力大；预算分配管理存在薄弱环节，部分财政资金闲置浪费；政策执行和落实不到位，企业和群众获得感不强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</w:rPr>
        <w:t>2020年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，受疫情冲击和国际国内经济形势影响，财政工作面临的挑战更加严峻，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</w:rPr>
        <w:t>工作任务更加艰巨，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我们要以习近平新时代中国特色社会主义思想为指导，坚决贯彻区委的决策部署，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</w:rPr>
        <w:t>自觉接受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区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</w:rPr>
        <w:t>人大的监督指导，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</w:rPr>
        <w:t>不忘初心，砥砺奋进，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  <w:lang w:eastAsia="zh-CN"/>
        </w:rPr>
        <w:t>奋力做好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shd w:val="clear" w:color="auto" w:fill="FFFFFF"/>
        </w:rPr>
        <w:t>全年财政收支预算及各项财政工作，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>为全区经济社会实现高质量转型发展目标做出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eastAsia="zh-CN"/>
        </w:rPr>
        <w:t>积极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</w:rPr>
        <w:t xml:space="preserve">贡献!  </w:t>
      </w:r>
    </w:p>
    <w:p/>
    <w:p/>
    <w:p/>
    <w:p/>
    <w:p/>
    <w:p/>
    <w:p/>
    <w:p/>
    <w:p/>
    <w:p/>
    <w:p/>
    <w:p/>
    <w:p/>
    <w:p/>
    <w:p/>
    <w:p/>
    <w:p/>
    <w:p/>
    <w:p/>
    <w:p>
      <w:r>
        <w:rPr>
          <w:rFonts w:ascii="Calibri" w:hAnsi="Calibri" w:eastAsia="宋体" w:cs="黑体"/>
          <w:kern w:val="2"/>
          <w:sz w:val="21"/>
          <w:szCs w:val="24"/>
          <w:lang w:val="en-US" w:eastAsia="zh-CN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36195</wp:posOffset>
                </wp:positionH>
                <wp:positionV relativeFrom="paragraph">
                  <wp:posOffset>7967980</wp:posOffset>
                </wp:positionV>
                <wp:extent cx="514350" cy="352425"/>
                <wp:effectExtent l="4445" t="4445" r="14605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435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85pt;margin-top:627.4pt;height:27.75pt;width:40.5pt;z-index:251658240;mso-width-relative:page;mso-height-relative:page;" fillcolor="#FFFFFF" filled="t" stroked="t" coordsize="21600,21600" o:gfxdata="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Sbrn&#10;vNgAAAAKAQAADwAAAAAAAAABACAAAAAiAAAAZHJzL2Rvd25yZXYueG1sUEsBAhQAFAAAAAgAh07i&#10;QAo8b1fpAQAA5wMAAA4AAAAAAAAAAQAgAAAAJwEAAGRycy9lMm9Eb2MueG1sUEsFBgAAAAAGAAYA&#10;WQEAAII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/>
    <w:sectPr>
      <w:footerReference r:id="rId3" w:type="default"/>
      <w:pgSz w:w="11906" w:h="16838"/>
      <w:pgMar w:top="2098" w:right="1644" w:bottom="1984" w:left="1644" w:header="0" w:footer="1871" w:gutter="0"/>
      <w:pgNumType w:fmt="numberInDash"/>
      <w:cols w:space="72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Ll1uVLQAAAABQEAAA8AAAAAAAAAAQAg&#10;AAAAIgAAAGRycy9kb3ducmV2LnhtbFBLAQIUABQAAAAIAIdO4kCOAd7YpAEAAD4DAAAOAAAAAAAA&#10;AAEAIAAAAB8BAABkcnMvZTJvRG9jLnhtbFBLBQYAAAAABgAGAFkBAAA1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380DA"/>
    <w:multiLevelType w:val="singleLevel"/>
    <w:tmpl w:val="594380DA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A04501"/>
    <w:rsid w:val="04247A46"/>
    <w:rsid w:val="06E81BF7"/>
    <w:rsid w:val="073019F7"/>
    <w:rsid w:val="08957F11"/>
    <w:rsid w:val="0D0E084D"/>
    <w:rsid w:val="0F0F0296"/>
    <w:rsid w:val="110A3B4A"/>
    <w:rsid w:val="1FE67681"/>
    <w:rsid w:val="23804805"/>
    <w:rsid w:val="24FD0D0D"/>
    <w:rsid w:val="26A4023E"/>
    <w:rsid w:val="29A35749"/>
    <w:rsid w:val="2E8B6A60"/>
    <w:rsid w:val="41A04501"/>
    <w:rsid w:val="42B431B2"/>
    <w:rsid w:val="63FC13A1"/>
    <w:rsid w:val="665C4AAA"/>
    <w:rsid w:val="6A9B5632"/>
    <w:rsid w:val="77466C8D"/>
    <w:rsid w:val="77E7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2020-06-03T02:25:00Z</dcterms:created>
  <dc:creator>Administrator</dc:creator>
  <cp:lastModifiedBy>Administrator</cp:lastModifiedBy>
  <cp:lastPrinted>2020-06-16T07:06:00Z</cp:lastPrinted>
  <dcterms:modified xsi:type="dcterms:W3CDTF">2020-06-17T08:58:19Z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