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line="600" w:lineRule="exact"/>
        <w:textAlignment w:val="auto"/>
        <w:rPr>
          <w:rFonts w:hint="eastAsia" w:ascii="方正黑体简体" w:hAnsi="方正黑体简体" w:eastAsia="方正黑体简体" w:cs="方正黑体简体"/>
          <w:sz w:val="28"/>
          <w:szCs w:val="28"/>
          <w:lang w:val="en-US" w:eastAsia="zh-CN"/>
        </w:rPr>
      </w:pPr>
      <w:r>
        <w:rPr>
          <w:rFonts w:hint="eastAsia" w:ascii="方正黑体简体" w:hAnsi="方正黑体简体" w:eastAsia="方正黑体简体" w:cs="方正黑体简体"/>
          <w:sz w:val="28"/>
          <w:szCs w:val="28"/>
          <w:lang w:eastAsia="zh-CN"/>
        </w:rPr>
        <w:t>附件</w:t>
      </w:r>
      <w:r>
        <w:rPr>
          <w:rFonts w:hint="eastAsia" w:ascii="方正黑体简体" w:hAnsi="方正黑体简体" w:eastAsia="方正黑体简体" w:cs="方正黑体简体"/>
          <w:sz w:val="28"/>
          <w:szCs w:val="28"/>
          <w:lang w:val="en-US" w:eastAsia="zh-CN"/>
        </w:rPr>
        <w:t>1</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eastAsia" w:ascii="方正大标宋简体" w:hAnsi="方正大标宋简体" w:eastAsia="方正大标宋简体" w:cs="方正大标宋简体"/>
          <w:sz w:val="44"/>
          <w:szCs w:val="44"/>
          <w:lang w:val="en-US" w:eastAsia="zh-CN"/>
        </w:rPr>
      </w:pPr>
      <w:bookmarkStart w:id="0" w:name="_GoBack"/>
      <w:r>
        <w:rPr>
          <w:rFonts w:hint="eastAsia" w:ascii="方正大标宋简体" w:hAnsi="方正大标宋简体" w:eastAsia="方正大标宋简体" w:cs="方正大标宋简体"/>
          <w:sz w:val="44"/>
          <w:szCs w:val="44"/>
          <w:lang w:val="en-US" w:eastAsia="zh-CN"/>
        </w:rPr>
        <w:t>长治市潞城区政协研究中心</w:t>
      </w:r>
      <w:bookmarkEnd w:id="0"/>
      <w:r>
        <w:rPr>
          <w:rFonts w:hint="eastAsia" w:ascii="方正大标宋简体" w:hAnsi="方正大标宋简体" w:eastAsia="方正大标宋简体" w:cs="方正大标宋简体"/>
          <w:sz w:val="44"/>
          <w:szCs w:val="44"/>
          <w:lang w:val="en-US" w:eastAsia="zh-CN"/>
        </w:rPr>
        <w:t>2022年度</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eastAsia" w:ascii="方正大标宋简体" w:hAnsi="方正大标宋简体" w:eastAsia="方正大标宋简体" w:cs="方正大标宋简体"/>
          <w:sz w:val="44"/>
          <w:szCs w:val="44"/>
          <w:lang w:val="en-US" w:eastAsia="zh-CN"/>
        </w:rPr>
      </w:pPr>
      <w:r>
        <w:rPr>
          <w:rFonts w:hint="eastAsia" w:ascii="方正大标宋简体" w:hAnsi="方正大标宋简体" w:eastAsia="方正大标宋简体" w:cs="方正大标宋简体"/>
          <w:sz w:val="44"/>
          <w:szCs w:val="44"/>
          <w:lang w:val="en-US" w:eastAsia="zh-CN"/>
        </w:rPr>
        <w:t>部门预算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黑体简体" w:hAnsi="方正黑体简体" w:eastAsia="方正黑体简体" w:cs="方正黑体简体"/>
          <w:sz w:val="36"/>
          <w:szCs w:val="36"/>
          <w:lang w:val="en-US" w:eastAsia="zh-CN"/>
        </w:rPr>
      </w:pPr>
      <w:r>
        <w:rPr>
          <w:rFonts w:hint="eastAsia" w:ascii="方正黑体简体" w:hAnsi="方正黑体简体" w:eastAsia="方正黑体简体" w:cs="方正黑体简体"/>
          <w:sz w:val="36"/>
          <w:szCs w:val="36"/>
          <w:lang w:val="en-US" w:eastAsia="zh-CN"/>
        </w:rPr>
        <w:t>目   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distribute"/>
        <w:textAlignment w:val="auto"/>
        <w:rPr>
          <w:rFonts w:hint="eastAsia" w:ascii="方正仿宋简体" w:hAnsi="方正仿宋简体" w:eastAsia="方正仿宋简体" w:cs="方正仿宋简体"/>
          <w:sz w:val="32"/>
          <w:szCs w:val="32"/>
          <w:lang w:val="en-US" w:eastAsia="zh-CN"/>
        </w:rPr>
      </w:pPr>
      <w:r>
        <w:rPr>
          <w:rFonts w:hint="eastAsia" w:ascii="方正黑体简体" w:hAnsi="方正黑体简体" w:eastAsia="方正黑体简体" w:cs="方正黑体简体"/>
          <w:sz w:val="32"/>
          <w:szCs w:val="32"/>
          <w:lang w:val="en-US" w:eastAsia="zh-CN"/>
        </w:rPr>
        <w:t>第一部分  概况</w:t>
      </w:r>
      <w:r>
        <w:rPr>
          <w:rFonts w:hint="eastAsia" w:ascii="方正仿宋简体" w:hAnsi="方正仿宋简体" w:eastAsia="方正仿宋简体" w:cs="方正仿宋简体"/>
          <w:sz w:val="32"/>
          <w:szCs w:val="32"/>
          <w:lang w:val="en-US" w:eastAsia="zh-CN"/>
        </w:rPr>
        <w:t>…………………………………………………1</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本部门（单位）职责……………………………………3</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机构设置情况……………………………………………3</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黑体简体" w:hAnsi="方正黑体简体" w:eastAsia="方正黑体简体" w:cs="方正黑体简体"/>
          <w:sz w:val="32"/>
          <w:szCs w:val="32"/>
          <w:lang w:val="en-US" w:eastAsia="zh-CN"/>
        </w:rPr>
        <w:t>第二部分  2022年部门（单位）预算报表</w:t>
      </w:r>
      <w:r>
        <w:rPr>
          <w:rFonts w:hint="eastAsia" w:ascii="方正仿宋简体" w:hAnsi="方正仿宋简体" w:eastAsia="方正仿宋简体" w:cs="方正仿宋简体"/>
          <w:sz w:val="32"/>
          <w:szCs w:val="32"/>
          <w:lang w:val="en-US" w:eastAsia="zh-CN"/>
        </w:rPr>
        <w:t>……………………4</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320" w:firstLineChars="10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一、政协研究中心2022年预算收支总表…………………………4</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320" w:firstLineChars="10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二、政协研究中心22022年预算收入总表………………………4</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320" w:firstLineChars="10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三、政协研究中心22022年预算支出总表…………………5</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320" w:firstLineChars="10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四、政协研究中心22022年财政拨款收支总表………………6</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五、政协研究中心22022年一般公共预算支出预算表……6</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六、政协研究中心22022年一般公共预算安排基本支出分经济科目表……………………………………………………7</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七、政协研究中心22022年政府性基金预算收入预算表…7</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八、政协研究中心22022年政府性基金预算支出预算表……8</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w w:val="90"/>
          <w:sz w:val="32"/>
          <w:szCs w:val="32"/>
          <w:lang w:val="en-US" w:eastAsia="zh-CN"/>
        </w:rPr>
      </w:pPr>
      <w:r>
        <w:rPr>
          <w:rFonts w:hint="eastAsia" w:ascii="方正仿宋简体" w:hAnsi="方正仿宋简体" w:eastAsia="方正仿宋简体" w:cs="方正仿宋简体"/>
          <w:sz w:val="32"/>
          <w:szCs w:val="32"/>
          <w:lang w:val="en-US" w:eastAsia="zh-CN"/>
        </w:rPr>
        <w:t xml:space="preserve">  九、</w:t>
      </w:r>
      <w:r>
        <w:rPr>
          <w:rFonts w:hint="eastAsia" w:ascii="方正仿宋简体" w:hAnsi="方正仿宋简体" w:eastAsia="方正仿宋简体" w:cs="方正仿宋简体"/>
          <w:w w:val="90"/>
          <w:sz w:val="32"/>
          <w:szCs w:val="32"/>
          <w:lang w:val="en-US" w:eastAsia="zh-CN"/>
        </w:rPr>
        <w:t>政协研究中心22022年国有资本经营预算收支预算表…8</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十、政协研究中心22022年“三公”经费支出预算表………9</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十一、政协研究中心22022年机关运行经费预算财政拨款情况表…………………………………………………………………10</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w:t>
      </w:r>
      <w:r>
        <w:rPr>
          <w:rFonts w:hint="eastAsia" w:ascii="方正黑体简体" w:hAnsi="方正黑体简体" w:eastAsia="方正黑体简体" w:cs="方正黑体简体"/>
          <w:sz w:val="32"/>
          <w:szCs w:val="32"/>
          <w:lang w:val="en-US" w:eastAsia="zh-CN"/>
        </w:rPr>
        <w:t>第三部分  2022年部门（单位）预算情况说明</w:t>
      </w:r>
      <w:r>
        <w:rPr>
          <w:rFonts w:hint="eastAsia" w:ascii="方正仿宋简体" w:hAnsi="方正仿宋简体" w:eastAsia="方正仿宋简体" w:cs="方正仿宋简体"/>
          <w:sz w:val="32"/>
          <w:szCs w:val="32"/>
          <w:lang w:val="en-US" w:eastAsia="zh-CN"/>
        </w:rPr>
        <w:t>……………10</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 xml:space="preserve">  一、2022年度部门预算数据变动情况及原因………………10</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320"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二、“三公”经费增减变动原因说明………………………11</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机关运行经费增减变动原因说明………………………11</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政府采购情况……………………………………………11</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绩效管理情况……………………………………………11</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国有资产占有使用情况………………………………11</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320" w:leftChars="0" w:firstLine="0" w:firstLine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其他说明………………………………………………11</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320" w:leftChars="0"/>
        <w:jc w:val="distribute"/>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政府购买服务指导性目录……………………………11</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320"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其他……………………………………………………11</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Chars="0"/>
        <w:jc w:val="distribute"/>
        <w:textAlignment w:val="auto"/>
        <w:rPr>
          <w:rFonts w:hint="default" w:ascii="方正仿宋简体" w:hAnsi="方正仿宋简体" w:eastAsia="方正仿宋简体" w:cs="方正仿宋简体"/>
          <w:sz w:val="32"/>
          <w:szCs w:val="32"/>
          <w:lang w:val="en-US" w:eastAsia="zh-CN"/>
        </w:rPr>
      </w:pPr>
      <w:r>
        <w:rPr>
          <w:rFonts w:hint="eastAsia" w:ascii="方正黑体简体" w:hAnsi="方正黑体简体" w:eastAsia="方正黑体简体" w:cs="方正黑体简体"/>
          <w:sz w:val="32"/>
          <w:szCs w:val="32"/>
          <w:lang w:val="en-US" w:eastAsia="zh-CN"/>
        </w:rPr>
        <w:t>第四部分 名词解释</w:t>
      </w:r>
      <w:r>
        <w:rPr>
          <w:rFonts w:hint="eastAsia" w:ascii="方正仿宋简体" w:hAnsi="方正仿宋简体" w:eastAsia="方正仿宋简体" w:cs="方正仿宋简体"/>
          <w:sz w:val="32"/>
          <w:szCs w:val="32"/>
          <w:lang w:val="en-US" w:eastAsia="zh-CN"/>
        </w:rPr>
        <w:t>…………………………………………12</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Chars="0"/>
        <w:jc w:val="center"/>
        <w:textAlignment w:val="auto"/>
        <w:rPr>
          <w:rFonts w:hint="eastAsia" w:ascii="方正宋黑简体" w:hAnsi="方正宋黑简体" w:eastAsia="方正宋黑简体" w:cs="方正宋黑简体"/>
          <w:sz w:val="32"/>
          <w:szCs w:val="32"/>
          <w:lang w:val="en-US" w:eastAsia="zh-CN"/>
        </w:rPr>
      </w:pPr>
      <w:r>
        <w:rPr>
          <w:rFonts w:hint="eastAsia" w:ascii="方正宋黑简体" w:hAnsi="方正宋黑简体" w:eastAsia="方正宋黑简体" w:cs="方正宋黑简体"/>
          <w:sz w:val="32"/>
          <w:szCs w:val="32"/>
          <w:lang w:val="en-US" w:eastAsia="zh-CN"/>
        </w:rPr>
        <w:t xml:space="preserve"> 概况</w:t>
      </w:r>
    </w:p>
    <w:p>
      <w:pPr>
        <w:keepNext w:val="0"/>
        <w:keepLines w:val="0"/>
        <w:pageBreakBefore w:val="0"/>
        <w:widowControl w:val="0"/>
        <w:numPr>
          <w:ilvl w:val="0"/>
          <w:numId w:val="0"/>
        </w:numPr>
        <w:kinsoku/>
        <w:wordWrap/>
        <w:overflowPunct/>
        <w:topLinePunct w:val="0"/>
        <w:autoSpaceDE/>
        <w:autoSpaceDN/>
        <w:bidi w:val="0"/>
        <w:adjustRightInd/>
        <w:snapToGrid/>
        <w:spacing w:after="313" w:afterLines="100" w:line="560" w:lineRule="exact"/>
        <w:ind w:firstLine="640" w:firstLineChars="200"/>
        <w:textAlignment w:val="auto"/>
        <w:rPr>
          <w:rFonts w:hint="default"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一、本部门（单位）职责</w:t>
      </w:r>
    </w:p>
    <w:p>
      <w:pPr>
        <w:keepNext w:val="0"/>
        <w:keepLines w:val="0"/>
        <w:pageBreakBefore w:val="0"/>
        <w:widowControl w:val="0"/>
        <w:numPr>
          <w:ilvl w:val="0"/>
          <w:numId w:val="0"/>
        </w:numPr>
        <w:kinsoku/>
        <w:wordWrap/>
        <w:overflowPunct/>
        <w:topLinePunct w:val="0"/>
        <w:autoSpaceDE/>
        <w:autoSpaceDN/>
        <w:bidi w:val="0"/>
        <w:adjustRightInd/>
        <w:snapToGrid/>
        <w:spacing w:after="313" w:afterLines="100" w:line="560" w:lineRule="exact"/>
        <w:ind w:firstLine="640" w:firstLineChars="200"/>
        <w:textAlignment w:val="auto"/>
        <w:rPr>
          <w:rFonts w:hint="default"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攥写社情民意信息，为政协工作做好服务保障。</w:t>
      </w:r>
    </w:p>
    <w:p>
      <w:pPr>
        <w:keepNext w:val="0"/>
        <w:keepLines w:val="0"/>
        <w:pageBreakBefore w:val="0"/>
        <w:widowControl w:val="0"/>
        <w:numPr>
          <w:ilvl w:val="0"/>
          <w:numId w:val="4"/>
        </w:numPr>
        <w:kinsoku/>
        <w:wordWrap/>
        <w:overflowPunct/>
        <w:topLinePunct w:val="0"/>
        <w:autoSpaceDE/>
        <w:autoSpaceDN/>
        <w:bidi w:val="0"/>
        <w:adjustRightInd/>
        <w:snapToGrid/>
        <w:spacing w:after="313" w:afterLines="100" w:line="560" w:lineRule="exact"/>
        <w:ind w:firstLine="640" w:firstLineChars="200"/>
        <w:textAlignment w:val="auto"/>
        <w:rPr>
          <w:rFonts w:hint="default"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机构设置情况</w:t>
      </w:r>
    </w:p>
    <w:p>
      <w:pPr>
        <w:keepNext w:val="0"/>
        <w:keepLines w:val="0"/>
        <w:pageBreakBefore w:val="0"/>
        <w:widowControl w:val="0"/>
        <w:numPr>
          <w:ilvl w:val="0"/>
          <w:numId w:val="0"/>
        </w:numPr>
        <w:kinsoku/>
        <w:wordWrap/>
        <w:overflowPunct/>
        <w:topLinePunct w:val="0"/>
        <w:autoSpaceDE/>
        <w:autoSpaceDN/>
        <w:bidi w:val="0"/>
        <w:adjustRightInd/>
        <w:snapToGrid/>
        <w:spacing w:after="313" w:afterLines="100" w:line="560" w:lineRule="exact"/>
        <w:ind w:firstLine="640" w:firstLineChars="200"/>
        <w:textAlignment w:val="auto"/>
        <w:rPr>
          <w:rFonts w:hint="default"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政协研究中心为区政协下属事业单位，事业编制8名，实有人数8人。设置办公室2间，2名副科级干部，6名科员。</w:t>
      </w:r>
    </w:p>
    <w:p>
      <w:pPr>
        <w:keepNext w:val="0"/>
        <w:keepLines w:val="0"/>
        <w:pageBreakBefore w:val="0"/>
        <w:widowControl w:val="0"/>
        <w:numPr>
          <w:ilvl w:val="0"/>
          <w:numId w:val="3"/>
        </w:numPr>
        <w:kinsoku/>
        <w:wordWrap/>
        <w:overflowPunct/>
        <w:topLinePunct w:val="0"/>
        <w:autoSpaceDE/>
        <w:autoSpaceDN/>
        <w:bidi w:val="0"/>
        <w:adjustRightInd/>
        <w:snapToGrid/>
        <w:spacing w:after="313" w:afterLines="100" w:line="600" w:lineRule="exact"/>
        <w:ind w:left="0" w:leftChars="0" w:firstLine="0" w:firstLineChars="0"/>
        <w:jc w:val="center"/>
        <w:textAlignment w:val="auto"/>
        <w:rPr>
          <w:rFonts w:hint="eastAsia" w:ascii="方正宋黑简体" w:hAnsi="方正宋黑简体" w:eastAsia="方正宋黑简体" w:cs="方正宋黑简体"/>
          <w:sz w:val="32"/>
          <w:szCs w:val="32"/>
          <w:lang w:val="en-US" w:eastAsia="zh-CN"/>
        </w:rPr>
      </w:pPr>
      <w:r>
        <w:rPr>
          <w:rFonts w:hint="eastAsia" w:ascii="方正宋黑简体" w:hAnsi="方正宋黑简体" w:eastAsia="方正宋黑简体" w:cs="方正宋黑简体"/>
          <w:sz w:val="32"/>
          <w:szCs w:val="32"/>
          <w:lang w:val="en-US" w:eastAsia="zh-CN"/>
        </w:rPr>
        <w:t>2022年度部门（单位）预算报表</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政协研究中心2022年预算收支总表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16"/>
        <w:gridCol w:w="1116"/>
        <w:gridCol w:w="2416"/>
        <w:gridCol w:w="12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部门:[004002]长治市潞城区政协研究中心</w:t>
            </w: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40.305586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五、单位资金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5.675424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社会保险基金支出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2.412055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4.511928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预备费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转移性支出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债务发行费用支出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52.904993</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政协研究中心2022年预算收入总表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9"/>
        <w:gridCol w:w="3750"/>
        <w:gridCol w:w="929"/>
        <w:gridCol w:w="929"/>
        <w:gridCol w:w="389"/>
        <w:gridCol w:w="389"/>
        <w:gridCol w:w="389"/>
        <w:gridCol w:w="10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2022年预算收入总表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功能科目名称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财政专户管理资金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[201]一般公共服务支出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[20102]政协事务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[2010250]事业运行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20805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[20805]行政事业单位养老支出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[21011]行政事业单位医疗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[2101102]事业单位医疗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22102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[22102]住房改革支出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政协研究中心2022年预算支出总表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2"/>
        <w:gridCol w:w="4373"/>
        <w:gridCol w:w="1055"/>
        <w:gridCol w:w="1055"/>
        <w:gridCol w:w="1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2022年预算支出总表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[201]一般公共服务支出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[20102]政协事务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[2010250]事业运行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[20805]行政事业单位养老支出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[21011]行政事业单位医疗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[2101102]事业单位医疗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[22102]住房改革支出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政协研究中心2022年财政拨款收支总表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15"/>
        <w:gridCol w:w="890"/>
        <w:gridCol w:w="1864"/>
        <w:gridCol w:w="890"/>
        <w:gridCol w:w="1115"/>
        <w:gridCol w:w="965"/>
        <w:gridCol w:w="14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2022年财政拨款收支总表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收入</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社会保险基金支出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节能环保支出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城乡社区支出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交通运输支出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资源勘探工业信息等支出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商业服务业等支出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金融支出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援助其他地区支出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自然资源海洋气象等支出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粮油物资储备支出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灾害防治及应急管理支出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预备费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转移性支出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债务还本支出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债务付息支出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债务发行费用支出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抗疫特别国债安排的支出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default"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政协研究中心2022年一般公共预算支出预算表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926"/>
        <w:gridCol w:w="3219"/>
        <w:gridCol w:w="881"/>
        <w:gridCol w:w="881"/>
        <w:gridCol w:w="9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2022年一般公共预算支出预算表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部门:[004002]长治市潞城区政协研究中心</w:t>
            </w: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[201]一般公共服务支出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[20102]政协事务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2010250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[2010250]事业运行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40.305586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[20805]行政事业单位养老支出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2080505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5.675424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[210]卫生健康支出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[21011]行政事业单位医疗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2101102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[2101102]事业单位医疗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2.412055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[22102]住房改革支出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2210201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[2210201]住房公积金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4.511928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六、政协研究中心2022年一般公共预算安排基本支出分经济科目表</w:t>
      </w:r>
    </w:p>
    <w:tbl>
      <w:tblPr>
        <w:tblStyle w:val="4"/>
        <w:tblW w:w="85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9"/>
        <w:gridCol w:w="1891"/>
        <w:gridCol w:w="20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8505"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一般公共预算安排基本支出分经济科目表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经济科目名称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52.904993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50.804993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[50501]工资福利支出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50.804993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50502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[5050299]商品和服务支出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七、政协研究中心2022年政府性基金预算收入预算表</w:t>
      </w:r>
    </w:p>
    <w:tbl>
      <w:tblPr>
        <w:tblStyle w:val="4"/>
        <w:tblW w:w="86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69"/>
        <w:gridCol w:w="2169"/>
        <w:gridCol w:w="43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8685"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2022年政府性基金预算收入表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政府性基金收入预算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320" w:leftChars="0" w:firstLine="0" w:firstLineChars="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政协研究中心2022年政府性基金预算支出预算表</w:t>
      </w:r>
    </w:p>
    <w:tbl>
      <w:tblPr>
        <w:tblStyle w:val="4"/>
        <w:tblW w:w="93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57"/>
        <w:gridCol w:w="2357"/>
        <w:gridCol w:w="46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9390"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2022年政府性基金预算支出表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九、政协研究中心2022年国有资本经营预算收支预算表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6"/>
        <w:gridCol w:w="1016"/>
        <w:gridCol w:w="2143"/>
        <w:gridCol w:w="1016"/>
        <w:gridCol w:w="1016"/>
        <w:gridCol w:w="616"/>
        <w:gridCol w:w="1016"/>
        <w:gridCol w:w="10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2022年国有资本经营预算收支预算表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国有资本经营预算收入</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国有资本经营收入预算</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十、政协研究中心2022年“三公”经费支出预算表</w:t>
      </w:r>
    </w:p>
    <w:tbl>
      <w:tblPr>
        <w:tblStyle w:val="4"/>
        <w:tblW w:w="78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804"/>
        <w:gridCol w:w="30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7830"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2022年一般公共预算“三公”经费支出情况统计表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①公务用车购置费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②公务用车运行维护费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20" w:leftChars="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Chars="0" w:firstLine="640" w:firstLineChars="200"/>
        <w:textAlignment w:val="auto"/>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政协研究中心2022年机关运行经费预算财政拨款情况表</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53"/>
        <w:gridCol w:w="1953"/>
        <w:gridCol w:w="2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rPr>
        <w:tc>
          <w:tcPr>
            <w:tcW w:w="0" w:type="auto"/>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2022年机关运行经费预算财政拨款情况统计表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bottom"/>
          </w:tcPr>
          <w:p>
            <w:pPr>
              <w:rPr>
                <w:rFonts w:hint="eastAsia" w:ascii="Calibri" w:hAnsi="Calibri" w:cs="Calibri"/>
                <w:i w:val="0"/>
                <w:iCs w:val="0"/>
                <w:color w:val="000000"/>
                <w:sz w:val="22"/>
                <w:szCs w:val="22"/>
                <w:u w:val="none"/>
              </w:rPr>
            </w:pPr>
          </w:p>
        </w:tc>
        <w:tc>
          <w:tcPr>
            <w:tcW w:w="0" w:type="auto"/>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方正仿宋简体" w:hAnsi="方正仿宋简体" w:eastAsia="方正仿宋简体" w:cs="方正仿宋简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both"/>
        <w:textAlignment w:val="auto"/>
        <w:rPr>
          <w:rFonts w:hint="eastAsia" w:ascii="方正宋黑简体" w:hAnsi="方正宋黑简体" w:eastAsia="方正宋黑简体" w:cs="方正宋黑简体"/>
          <w:sz w:val="32"/>
          <w:szCs w:val="32"/>
        </w:rPr>
      </w:pPr>
      <w:r>
        <w:rPr>
          <w:rFonts w:hint="eastAsia" w:ascii="方正宋黑简体" w:hAnsi="方正宋黑简体" w:eastAsia="方正宋黑简体" w:cs="方正宋黑简体"/>
          <w:sz w:val="32"/>
          <w:szCs w:val="32"/>
        </w:rPr>
        <w:t>第三部分</w:t>
      </w:r>
      <w:r>
        <w:rPr>
          <w:rFonts w:hint="eastAsia" w:ascii="方正宋黑简体" w:hAnsi="方正宋黑简体" w:eastAsia="方正宋黑简体" w:cs="方正宋黑简体"/>
          <w:sz w:val="32"/>
          <w:szCs w:val="32"/>
          <w:lang w:val="en-US" w:eastAsia="zh-CN"/>
        </w:rPr>
        <w:t xml:space="preserve">  </w:t>
      </w:r>
      <w:r>
        <w:rPr>
          <w:rFonts w:hint="eastAsia" w:ascii="方正宋黑简体" w:hAnsi="方正宋黑简体" w:eastAsia="方正宋黑简体" w:cs="方正宋黑简体"/>
          <w:sz w:val="32"/>
          <w:szCs w:val="32"/>
        </w:rPr>
        <w:t xml:space="preserve"> 2022年度部门(单位)预算情况说明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一、2022年度部门预算数据变动情况及原因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sz w:val="32"/>
          <w:szCs w:val="32"/>
          <w:lang w:eastAsia="zh-CN"/>
        </w:rPr>
        <w:t>一般预算收入52.904993万元，</w:t>
      </w:r>
      <w:r>
        <w:rPr>
          <w:rFonts w:hint="eastAsia" w:ascii="方正仿宋简体" w:hAnsi="方正仿宋简体" w:eastAsia="方正仿宋简体" w:cs="方正仿宋简体"/>
          <w:b/>
          <w:bCs/>
          <w:sz w:val="32"/>
          <w:szCs w:val="32"/>
        </w:rPr>
        <w:t>较上年</w:t>
      </w:r>
      <w:r>
        <w:rPr>
          <w:rFonts w:hint="eastAsia" w:ascii="方正仿宋简体" w:hAnsi="方正仿宋简体" w:eastAsia="方正仿宋简体" w:cs="方正仿宋简体"/>
          <w:b/>
          <w:bCs/>
          <w:sz w:val="32"/>
          <w:szCs w:val="32"/>
          <w:lang w:eastAsia="zh-CN"/>
        </w:rPr>
        <w:t>增加</w:t>
      </w:r>
      <w:r>
        <w:rPr>
          <w:rFonts w:hint="eastAsia" w:ascii="方正仿宋简体" w:hAnsi="方正仿宋简体" w:eastAsia="方正仿宋简体" w:cs="方正仿宋简体"/>
          <w:b/>
          <w:bCs/>
          <w:sz w:val="32"/>
          <w:szCs w:val="32"/>
          <w:lang w:val="en-US" w:eastAsia="zh-CN"/>
        </w:rPr>
        <w:t>10.2万元，原因是增加1名事业人员，工资增加。</w:t>
      </w:r>
      <w:r>
        <w:rPr>
          <w:rFonts w:hint="eastAsia" w:ascii="方正仿宋简体" w:hAnsi="方正仿宋简体" w:eastAsia="方正仿宋简体" w:cs="方正仿宋简体"/>
          <w:sz w:val="32"/>
          <w:szCs w:val="32"/>
          <w:lang w:eastAsia="zh-CN"/>
        </w:rPr>
        <w:t>一般公共服务支出</w:t>
      </w:r>
      <w:r>
        <w:rPr>
          <w:rFonts w:hint="eastAsia" w:ascii="方正仿宋简体" w:hAnsi="方正仿宋简体" w:eastAsia="方正仿宋简体" w:cs="方正仿宋简体"/>
          <w:sz w:val="32"/>
          <w:szCs w:val="32"/>
          <w:lang w:eastAsia="zh-CN"/>
        </w:rPr>
        <w:tab/>
      </w:r>
      <w:r>
        <w:rPr>
          <w:rFonts w:hint="eastAsia" w:ascii="方正仿宋简体" w:hAnsi="方正仿宋简体" w:eastAsia="方正仿宋简体" w:cs="方正仿宋简体"/>
          <w:sz w:val="32"/>
          <w:szCs w:val="32"/>
          <w:lang w:eastAsia="zh-CN"/>
        </w:rPr>
        <w:t>40.305586万元，</w:t>
      </w:r>
      <w:r>
        <w:rPr>
          <w:rFonts w:hint="eastAsia" w:ascii="方正仿宋简体" w:hAnsi="方正仿宋简体" w:eastAsia="方正仿宋简体" w:cs="方正仿宋简体"/>
          <w:b/>
          <w:bCs/>
          <w:sz w:val="32"/>
          <w:szCs w:val="32"/>
        </w:rPr>
        <w:t>较上年比较增加</w:t>
      </w:r>
      <w:r>
        <w:rPr>
          <w:rFonts w:hint="eastAsia" w:ascii="方正仿宋简体" w:hAnsi="方正仿宋简体" w:eastAsia="方正仿宋简体" w:cs="方正仿宋简体"/>
          <w:b/>
          <w:bCs/>
          <w:sz w:val="32"/>
          <w:szCs w:val="32"/>
          <w:lang w:val="en-US" w:eastAsia="zh-CN"/>
        </w:rPr>
        <w:t>9.8</w:t>
      </w:r>
      <w:r>
        <w:rPr>
          <w:rFonts w:hint="eastAsia" w:ascii="方正仿宋简体" w:hAnsi="方正仿宋简体" w:eastAsia="方正仿宋简体" w:cs="方正仿宋简体"/>
          <w:b/>
          <w:bCs/>
          <w:sz w:val="32"/>
          <w:szCs w:val="32"/>
        </w:rPr>
        <w:t>万元。</w:t>
      </w:r>
      <w:r>
        <w:rPr>
          <w:rFonts w:hint="eastAsia" w:ascii="方正仿宋简体" w:hAnsi="方正仿宋简体" w:eastAsia="方正仿宋简体" w:cs="方正仿宋简体"/>
          <w:b/>
          <w:bCs/>
          <w:sz w:val="32"/>
          <w:szCs w:val="32"/>
          <w:lang w:val="en-US" w:eastAsia="zh-CN"/>
        </w:rPr>
        <w:t>原因是增加1名事业人员，经费支出增加。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二、“三公”经费增减变动原因说明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本部门无“三公”经费。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三、机关运行经费增减变动原因说明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eastAsia="zh-CN"/>
        </w:rPr>
        <w:t>政协研究中心</w:t>
      </w:r>
      <w:r>
        <w:rPr>
          <w:rFonts w:hint="eastAsia" w:ascii="方正仿宋简体" w:hAnsi="方正仿宋简体" w:eastAsia="方正仿宋简体" w:cs="方正仿宋简体"/>
          <w:sz w:val="32"/>
          <w:szCs w:val="32"/>
        </w:rPr>
        <w:t>2022年所属</w:t>
      </w:r>
      <w:r>
        <w:rPr>
          <w:rFonts w:hint="eastAsia" w:ascii="方正仿宋简体" w:hAnsi="方正仿宋简体" w:eastAsia="方正仿宋简体" w:cs="方正仿宋简体"/>
          <w:sz w:val="32"/>
          <w:szCs w:val="32"/>
          <w:lang w:eastAsia="zh-CN"/>
        </w:rPr>
        <w:t>区政协</w:t>
      </w:r>
      <w:r>
        <w:rPr>
          <w:rFonts w:hint="eastAsia" w:ascii="方正仿宋简体" w:hAnsi="方正仿宋简体" w:eastAsia="方正仿宋简体" w:cs="方正仿宋简体"/>
          <w:sz w:val="32"/>
          <w:szCs w:val="32"/>
        </w:rPr>
        <w:t>行政单位的机关运行经费财政拨款预算</w:t>
      </w:r>
      <w:r>
        <w:rPr>
          <w:rFonts w:hint="eastAsia" w:ascii="方正仿宋简体" w:hAnsi="方正仿宋简体" w:eastAsia="方正仿宋简体" w:cs="方正仿宋简体"/>
          <w:sz w:val="32"/>
          <w:szCs w:val="32"/>
          <w:lang w:val="en-US" w:eastAsia="zh-CN"/>
        </w:rPr>
        <w:t>18.01万元</w:t>
      </w:r>
      <w:r>
        <w:rPr>
          <w:rFonts w:hint="eastAsia" w:ascii="方正仿宋简体" w:hAnsi="方正仿宋简体" w:eastAsia="方正仿宋简体" w:cs="方正仿宋简体"/>
          <w:sz w:val="32"/>
          <w:szCs w:val="32"/>
        </w:rPr>
        <w:t>万元，比2021年预算增加</w:t>
      </w:r>
      <w:r>
        <w:rPr>
          <w:rFonts w:hint="eastAsia" w:ascii="方正仿宋简体" w:hAnsi="方正仿宋简体" w:eastAsia="方正仿宋简体" w:cs="方正仿宋简体"/>
          <w:sz w:val="32"/>
          <w:szCs w:val="32"/>
          <w:lang w:val="en-US" w:eastAsia="zh-CN"/>
        </w:rPr>
        <w:t>2.3</w:t>
      </w:r>
      <w:r>
        <w:rPr>
          <w:rFonts w:hint="eastAsia" w:ascii="方正仿宋简体" w:hAnsi="方正仿宋简体" w:eastAsia="方正仿宋简体" w:cs="方正仿宋简体"/>
          <w:sz w:val="32"/>
          <w:szCs w:val="32"/>
        </w:rPr>
        <w:t>万元，增长</w:t>
      </w:r>
      <w:r>
        <w:rPr>
          <w:rFonts w:hint="eastAsia" w:ascii="方正仿宋简体" w:hAnsi="方正仿宋简体" w:eastAsia="方正仿宋简体" w:cs="方正仿宋简体"/>
          <w:sz w:val="32"/>
          <w:szCs w:val="32"/>
          <w:lang w:val="en-US" w:eastAsia="zh-CN"/>
        </w:rPr>
        <w:t>14.6</w:t>
      </w:r>
      <w:r>
        <w:rPr>
          <w:rFonts w:hint="eastAsia" w:ascii="方正仿宋简体" w:hAnsi="方正仿宋简体" w:eastAsia="方正仿宋简体" w:cs="方正仿宋简体"/>
          <w:sz w:val="32"/>
          <w:szCs w:val="32"/>
        </w:rPr>
        <w:t>%,增加主要是</w:t>
      </w:r>
      <w:r>
        <w:rPr>
          <w:rFonts w:hint="eastAsia" w:ascii="方正仿宋简体" w:hAnsi="方正仿宋简体" w:eastAsia="方正仿宋简体" w:cs="方正仿宋简体"/>
          <w:sz w:val="32"/>
          <w:szCs w:val="32"/>
          <w:lang w:eastAsia="zh-CN"/>
        </w:rPr>
        <w:t>机关人员增加，专项工作增加</w:t>
      </w:r>
      <w:r>
        <w:rPr>
          <w:rFonts w:hint="eastAsia" w:ascii="方正仿宋简体" w:hAnsi="方正仿宋简体" w:eastAsia="方正仿宋简体" w:cs="方正仿宋简体"/>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四、政府采购情况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本部门没有政府采购情况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五、绩效管理情况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1、绩效管理情况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无</w:t>
      </w:r>
      <w:r>
        <w:rPr>
          <w:rFonts w:hint="eastAsia" w:ascii="方正仿宋简体" w:hAnsi="方正仿宋简体" w:eastAsia="方正仿宋简体" w:cs="方正仿宋简体"/>
          <w:sz w:val="32"/>
          <w:szCs w:val="32"/>
        </w:rPr>
        <w:t>实行绩效目标管理的项目</w:t>
      </w:r>
      <w:r>
        <w:rPr>
          <w:rFonts w:hint="eastAsia" w:ascii="方正仿宋简体" w:hAnsi="方正仿宋简体" w:eastAsia="方正仿宋简体" w:cs="方正仿宋简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六、国有资产占有使用情况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1、车辆情况</w:t>
      </w:r>
      <w:r>
        <w:rPr>
          <w:rFonts w:hint="eastAsia" w:ascii="方正仿宋简体" w:hAnsi="方正仿宋简体" w:eastAsia="方正仿宋简体" w:cs="方正仿宋简体"/>
          <w:sz w:val="32"/>
          <w:szCs w:val="32"/>
          <w:lang w:eastAsia="zh-CN"/>
        </w:rPr>
        <w:t>无</w:t>
      </w:r>
      <w:r>
        <w:rPr>
          <w:rFonts w:hint="eastAsia" w:ascii="方正仿宋简体" w:hAnsi="方正仿宋简体" w:eastAsia="方正仿宋简体" w:cs="方正仿宋简体"/>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2、房屋情况</w:t>
      </w:r>
      <w:r>
        <w:rPr>
          <w:rFonts w:hint="eastAsia" w:ascii="方正仿宋简体" w:hAnsi="方正仿宋简体" w:eastAsia="方正仿宋简体" w:cs="方正仿宋简体"/>
          <w:sz w:val="32"/>
          <w:szCs w:val="32"/>
          <w:lang w:eastAsia="zh-CN"/>
        </w:rPr>
        <w:t>：使用两间办公室共</w:t>
      </w:r>
      <w:r>
        <w:rPr>
          <w:rFonts w:hint="eastAsia" w:ascii="方正仿宋简体" w:hAnsi="方正仿宋简体" w:eastAsia="方正仿宋简体" w:cs="方正仿宋简体"/>
          <w:sz w:val="32"/>
          <w:szCs w:val="32"/>
          <w:lang w:val="en-US" w:eastAsia="zh-CN"/>
        </w:rPr>
        <w:t>30平米</w:t>
      </w:r>
      <w:r>
        <w:rPr>
          <w:rFonts w:hint="eastAsia" w:ascii="方正仿宋简体" w:hAnsi="方正仿宋简体" w:eastAsia="方正仿宋简体" w:cs="方正仿宋简体"/>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w:t>
      </w:r>
      <w:r>
        <w:rPr>
          <w:rFonts w:hint="eastAsia" w:ascii="方正仿宋简体" w:hAnsi="方正仿宋简体" w:eastAsia="方正仿宋简体" w:cs="方正仿宋简体"/>
          <w:sz w:val="32"/>
          <w:szCs w:val="32"/>
          <w:lang w:eastAsia="zh-CN"/>
        </w:rPr>
        <w:t>无</w:t>
      </w:r>
      <w:r>
        <w:rPr>
          <w:rFonts w:hint="eastAsia" w:ascii="方正仿宋简体" w:hAnsi="方正仿宋简体" w:eastAsia="方正仿宋简体" w:cs="方正仿宋简体"/>
          <w:sz w:val="32"/>
          <w:szCs w:val="32"/>
        </w:rPr>
        <w:t>其他国有资产占有使用情况。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七、其他说明(参考模板，各单位可根据本单位实际情况进行修改和完善)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(一)政府购买服务指导性目录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无</w:t>
      </w:r>
    </w:p>
    <w:p>
      <w:pPr>
        <w:keepNext w:val="0"/>
        <w:keepLines w:val="0"/>
        <w:pageBreakBefore w:val="0"/>
        <w:widowControl w:val="0"/>
        <w:numPr>
          <w:ilvl w:val="0"/>
          <w:numId w:val="7"/>
        </w:numPr>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其他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方正仿宋简体" w:hAnsi="方正仿宋简体" w:eastAsia="方正仿宋简体" w:cs="方正仿宋简体"/>
          <w:sz w:val="32"/>
          <w:szCs w:val="32"/>
          <w:lang w:eastAsia="zh-CN"/>
        </w:rPr>
        <w:t>无</w:t>
      </w:r>
    </w:p>
    <w:p>
      <w:pPr>
        <w:keepNext w:val="0"/>
        <w:keepLines w:val="0"/>
        <w:pageBreakBefore w:val="0"/>
        <w:widowControl w:val="0"/>
        <w:kinsoku/>
        <w:wordWrap/>
        <w:overflowPunct/>
        <w:topLinePunct w:val="0"/>
        <w:autoSpaceDE/>
        <w:autoSpaceDN/>
        <w:bidi w:val="0"/>
        <w:adjustRightInd/>
        <w:snapToGrid/>
        <w:spacing w:after="313" w:afterLines="100" w:line="600" w:lineRule="exact"/>
        <w:ind w:firstLine="0" w:firstLineChars="0"/>
        <w:jc w:val="center"/>
        <w:textAlignment w:val="auto"/>
        <w:rPr>
          <w:rFonts w:hint="eastAsia" w:ascii="方正宋黑简体" w:hAnsi="方正宋黑简体" w:eastAsia="方正宋黑简体" w:cs="方正宋黑简体"/>
          <w:sz w:val="32"/>
          <w:szCs w:val="32"/>
        </w:rPr>
      </w:pPr>
      <w:r>
        <w:rPr>
          <w:rFonts w:hint="eastAsia" w:ascii="方正宋黑简体" w:hAnsi="方正宋黑简体" w:eastAsia="方正宋黑简体" w:cs="方正宋黑简体"/>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【说明:本项为必须公开内容，可解释本部门预算特有的较为专业的名词，或是财政预算编制方面名词(以下名词解释仅供参考，各部门可以根据实际情况自行增加)】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一、基本支出:</w:t>
      </w:r>
      <w:r>
        <w:rPr>
          <w:rFonts w:hint="eastAsia" w:ascii="楷体_GB2312" w:hAnsi="楷体_GB2312" w:eastAsia="楷体_GB2312" w:cs="楷体_GB2312"/>
          <w:sz w:val="32"/>
          <w:szCs w:val="32"/>
        </w:rPr>
        <w:t>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二、项目支出:</w:t>
      </w:r>
      <w:r>
        <w:rPr>
          <w:rFonts w:hint="eastAsia" w:ascii="楷体_GB2312" w:hAnsi="楷体_GB2312" w:eastAsia="楷体_GB2312" w:cs="楷体_GB2312"/>
          <w:sz w:val="32"/>
          <w:szCs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三、“三公”经费:</w:t>
      </w:r>
      <w:r>
        <w:rPr>
          <w:rFonts w:hint="eastAsia" w:ascii="楷体_GB2312" w:hAnsi="楷体_GB2312" w:eastAsia="楷体_GB2312" w:cs="楷体_GB2312"/>
          <w:sz w:val="32"/>
          <w:szCs w:val="32"/>
        </w:rPr>
        <w:t>指</w:t>
      </w:r>
      <w:r>
        <w:rPr>
          <w:rFonts w:hint="eastAsia" w:ascii="楷体_GB2312" w:hAnsi="楷体_GB2312" w:eastAsia="楷体_GB2312" w:cs="楷体_GB2312"/>
          <w:sz w:val="32"/>
          <w:szCs w:val="32"/>
          <w:lang w:eastAsia="zh-CN"/>
        </w:rPr>
        <w:t>各</w:t>
      </w:r>
      <w:r>
        <w:rPr>
          <w:rFonts w:hint="eastAsia" w:ascii="楷体_GB2312" w:hAnsi="楷体_GB2312" w:eastAsia="楷体_GB2312" w:cs="楷体_GB2312"/>
          <w:sz w:val="32"/>
          <w:szCs w:val="32"/>
        </w:rPr>
        <w:t>部门</w:t>
      </w:r>
      <w:r>
        <w:rPr>
          <w:rFonts w:hint="eastAsia" w:ascii="楷体_GB2312" w:hAnsi="楷体_GB2312" w:eastAsia="楷体_GB2312" w:cs="楷体_GB2312"/>
          <w:sz w:val="32"/>
          <w:szCs w:val="32"/>
          <w:lang w:eastAsia="zh-CN"/>
        </w:rPr>
        <w:t>使</w:t>
      </w:r>
      <w:r>
        <w:rPr>
          <w:rFonts w:hint="eastAsia" w:ascii="楷体_GB2312" w:hAnsi="楷体_GB2312" w:eastAsia="楷体_GB2312" w:cs="楷体_GB2312"/>
          <w:sz w:val="32"/>
          <w:szCs w:val="32"/>
        </w:rPr>
        <w:t>用一般公共预算安排的因公出国(境)费用、公务用车购置及运行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机关和参公事业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四、机关运行经费:</w:t>
      </w:r>
      <w:r>
        <w:rPr>
          <w:rFonts w:hint="eastAsia" w:ascii="楷体_GB2312" w:hAnsi="楷体_GB2312" w:eastAsia="楷体_GB2312" w:cs="楷体_GB2312"/>
          <w:sz w:val="32"/>
          <w:szCs w:val="32"/>
        </w:rPr>
        <w:t>指行政单位和参照公务员法管理的事业单位使用一般公共预算财政拨款安排的基本支出中的公用经费支出。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五、政府购买服务:</w:t>
      </w:r>
      <w:r>
        <w:rPr>
          <w:rFonts w:hint="eastAsia" w:ascii="楷体_GB2312" w:hAnsi="楷体_GB2312" w:eastAsia="楷体_GB2312" w:cs="楷体_GB2312"/>
          <w:sz w:val="32"/>
          <w:szCs w:val="32"/>
        </w:rPr>
        <w:t>根据我国现行政策规定，政府购买服务，是指充分发挥市场机制作用，将国家机关属于自身职责范围且适合通过市场化方式提供的服务事项，按照政府采购方式和程序，交由符合条件的服务供应商承担，并根据服务数量和质量等情况向其支付费用的行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六、一般公共预算:</w:t>
      </w:r>
      <w:r>
        <w:rPr>
          <w:rFonts w:hint="eastAsia" w:ascii="楷体_GB2312" w:hAnsi="楷体_GB2312" w:eastAsia="楷体_GB2312" w:cs="楷体_GB2312"/>
          <w:sz w:val="32"/>
          <w:szCs w:val="32"/>
        </w:rPr>
        <w:t>是指以税收为主体的财政收入，安排用于保障和改善民生、推动经济社会发展、维护国家安全、维持国家机构正常运转等方面的收支预算。</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七、政府性基金预算:</w:t>
      </w:r>
      <w:r>
        <w:rPr>
          <w:rFonts w:hint="eastAsia" w:ascii="楷体_GB2312" w:hAnsi="楷体_GB2312" w:eastAsia="楷体_GB2312" w:cs="楷体_GB2312"/>
          <w:sz w:val="32"/>
          <w:szCs w:val="32"/>
        </w:rPr>
        <w:t>是对依照法律、行政法规的规定在一定期限内向特定对象征收、收取或者以其他方式筹集的资金，专项用于特定公共事业发展的收支预算。</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八、国有资本经营预算:</w:t>
      </w:r>
      <w:r>
        <w:rPr>
          <w:rFonts w:hint="eastAsia" w:ascii="楷体_GB2312" w:hAnsi="楷体_GB2312" w:eastAsia="楷体_GB2312" w:cs="楷体_GB2312"/>
          <w:sz w:val="32"/>
          <w:szCs w:val="32"/>
        </w:rPr>
        <w:t>是对国有资本收益作出支出安排的收支预算。</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九、财政专户管理资金:</w:t>
      </w:r>
      <w:r>
        <w:rPr>
          <w:rFonts w:hint="eastAsia" w:ascii="楷体_GB2312" w:hAnsi="楷体_GB2312" w:eastAsia="楷体_GB2312" w:cs="楷体_GB2312"/>
          <w:sz w:val="32"/>
          <w:szCs w:val="32"/>
        </w:rPr>
        <w:t>专指教育收费，包括目前在财政专户管理的高中以上学费、住宿费，高校委托培养费，党校收费，教育考试考务费，函大、电大、夜大及短训班培训费等。</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b/>
          <w:bCs/>
          <w:sz w:val="32"/>
          <w:szCs w:val="32"/>
        </w:rPr>
        <w:t>十、单位资金:</w:t>
      </w:r>
      <w:r>
        <w:rPr>
          <w:rFonts w:hint="eastAsia" w:ascii="楷体_GB2312" w:hAnsi="楷体_GB2312" w:eastAsia="楷体_GB2312" w:cs="楷体_GB2312"/>
          <w:sz w:val="32"/>
          <w:szCs w:val="32"/>
        </w:rPr>
        <w:t>是指除政府预算资金和财政专户管理资金以外的资金，包括事业收入、事业单位经营收入、上级补助收入、附属单位上缴收入、其他收入。</w:t>
      </w:r>
    </w:p>
    <w:sectPr>
      <w:footerReference r:id="rId3" w:type="default"/>
      <w:pgSz w:w="11906" w:h="16838"/>
      <w:pgMar w:top="1984" w:right="1587" w:bottom="1701"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黑体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0F4210"/>
    <w:multiLevelType w:val="singleLevel"/>
    <w:tmpl w:val="8B0F4210"/>
    <w:lvl w:ilvl="0" w:tentative="0">
      <w:start w:val="1"/>
      <w:numFmt w:val="chineseCounting"/>
      <w:suff w:val="nothing"/>
      <w:lvlText w:val="%1、"/>
      <w:lvlJc w:val="left"/>
      <w:rPr>
        <w:rFonts w:hint="eastAsia"/>
      </w:rPr>
    </w:lvl>
  </w:abstractNum>
  <w:abstractNum w:abstractNumId="1">
    <w:nsid w:val="90F07AB0"/>
    <w:multiLevelType w:val="singleLevel"/>
    <w:tmpl w:val="90F07AB0"/>
    <w:lvl w:ilvl="0" w:tentative="0">
      <w:start w:val="1"/>
      <w:numFmt w:val="chineseCounting"/>
      <w:suff w:val="nothing"/>
      <w:lvlText w:val="（%1）"/>
      <w:lvlJc w:val="left"/>
      <w:rPr>
        <w:rFonts w:hint="eastAsia"/>
      </w:rPr>
    </w:lvl>
  </w:abstractNum>
  <w:abstractNum w:abstractNumId="2">
    <w:nsid w:val="BDEC35D5"/>
    <w:multiLevelType w:val="singleLevel"/>
    <w:tmpl w:val="BDEC35D5"/>
    <w:lvl w:ilvl="0" w:tentative="0">
      <w:start w:val="11"/>
      <w:numFmt w:val="chineseCounting"/>
      <w:suff w:val="nothing"/>
      <w:lvlText w:val="%1、"/>
      <w:lvlJc w:val="left"/>
      <w:rPr>
        <w:rFonts w:hint="eastAsia"/>
      </w:rPr>
    </w:lvl>
  </w:abstractNum>
  <w:abstractNum w:abstractNumId="3">
    <w:nsid w:val="D807A8D1"/>
    <w:multiLevelType w:val="singleLevel"/>
    <w:tmpl w:val="D807A8D1"/>
    <w:lvl w:ilvl="0" w:tentative="0">
      <w:start w:val="2"/>
      <w:numFmt w:val="chineseCounting"/>
      <w:lvlText w:val="(%1)"/>
      <w:lvlJc w:val="left"/>
      <w:pPr>
        <w:tabs>
          <w:tab w:val="left" w:pos="312"/>
        </w:tabs>
      </w:pPr>
      <w:rPr>
        <w:rFonts w:hint="eastAsia"/>
      </w:rPr>
    </w:lvl>
  </w:abstractNum>
  <w:abstractNum w:abstractNumId="4">
    <w:nsid w:val="E8621750"/>
    <w:multiLevelType w:val="singleLevel"/>
    <w:tmpl w:val="E8621750"/>
    <w:lvl w:ilvl="0" w:tentative="0">
      <w:start w:val="1"/>
      <w:numFmt w:val="chineseCounting"/>
      <w:suff w:val="space"/>
      <w:lvlText w:val="第%1部分"/>
      <w:lvlJc w:val="left"/>
      <w:rPr>
        <w:rFonts w:hint="eastAsia"/>
      </w:rPr>
    </w:lvl>
  </w:abstractNum>
  <w:abstractNum w:abstractNumId="5">
    <w:nsid w:val="1708C4FE"/>
    <w:multiLevelType w:val="singleLevel"/>
    <w:tmpl w:val="1708C4FE"/>
    <w:lvl w:ilvl="0" w:tentative="0">
      <w:start w:val="1"/>
      <w:numFmt w:val="chineseCounting"/>
      <w:suff w:val="nothing"/>
      <w:lvlText w:val="%1、"/>
      <w:lvlJc w:val="left"/>
      <w:rPr>
        <w:rFonts w:hint="eastAsia"/>
      </w:rPr>
    </w:lvl>
  </w:abstractNum>
  <w:abstractNum w:abstractNumId="6">
    <w:nsid w:val="2E8CF568"/>
    <w:multiLevelType w:val="singleLevel"/>
    <w:tmpl w:val="2E8CF568"/>
    <w:lvl w:ilvl="0" w:tentative="0">
      <w:start w:val="1"/>
      <w:numFmt w:val="chineseCounting"/>
      <w:suff w:val="nothing"/>
      <w:lvlText w:val="%1、"/>
      <w:lvlJc w:val="left"/>
      <w:pPr>
        <w:ind w:left="320" w:leftChars="0" w:firstLine="0" w:firstLineChars="0"/>
      </w:pPr>
      <w:rPr>
        <w:rFonts w:hint="eastAsia"/>
      </w:rPr>
    </w:lvl>
  </w:abstractNum>
  <w:num w:numId="1">
    <w:abstractNumId w:val="6"/>
  </w:num>
  <w:num w:numId="2">
    <w:abstractNumId w:val="1"/>
  </w:num>
  <w:num w:numId="3">
    <w:abstractNumId w:val="4"/>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wYTJlMjU5N2MxYzhhNWE3ZjI2NDAzZTA5MDBiOTMifQ=="/>
  </w:docVars>
  <w:rsids>
    <w:rsidRoot w:val="0FDB0A9B"/>
    <w:rsid w:val="0FDB0A9B"/>
    <w:rsid w:val="2B81342B"/>
    <w:rsid w:val="364E4209"/>
    <w:rsid w:val="3C7A386B"/>
    <w:rsid w:val="47F80CA5"/>
    <w:rsid w:val="56D025AE"/>
    <w:rsid w:val="5ABB5323"/>
    <w:rsid w:val="5E8379C4"/>
    <w:rsid w:val="60830691"/>
    <w:rsid w:val="6B0548C4"/>
    <w:rsid w:val="6DFD1A82"/>
    <w:rsid w:val="7514665F"/>
    <w:rsid w:val="757C5983"/>
    <w:rsid w:val="78037C82"/>
    <w:rsid w:val="7A781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3806</Words>
  <Characters>5113</Characters>
  <Lines>0</Lines>
  <Paragraphs>0</Paragraphs>
  <TotalTime>2</TotalTime>
  <ScaleCrop>false</ScaleCrop>
  <LinksUpToDate>false</LinksUpToDate>
  <CharactersWithSpaces>5210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2022-02-25T02:30:00Z</dcterms:created>
  <dc:creator>Administrator</dc:creator>
  <cp:lastModifiedBy>Administrator</cp:lastModifiedBy>
  <cp:lastPrinted>2022-02-25T03:22:00Z</cp:lastPrinted>
  <dcterms:modified xsi:type="dcterms:W3CDTF">2022-02-24T07:42:47Z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F35376B1280D485E9B1BE8CB5DEF597F</vt:lpwstr>
  </property>
</Properties>
</file>