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widowControl w:val="0"/>
        <w:suppressLineNumbers w:val="0"/>
        <w:spacing w:before="0" w:beforeAutospacing="0" w:after="312" w:afterLines="100" w:afterAutospacing="0" w:line="600" w:lineRule="exact"/>
        <w:ind w:left="0" w:right="0"/>
        <w:jc w:val="both"/>
        <w:rPr>
          <w:rFonts w:hint="eastAsia" w:ascii="方正黑体简体" w:hAnsi="方正黑体简体" w:eastAsia="方正黑体简体" w:cs="方正黑体简体"/>
          <w:sz w:val="28"/>
          <w:szCs w:val="28"/>
          <w:lang w:val="en-US"/>
        </w:rPr>
      </w:pPr>
      <w:r>
        <w:rPr>
          <w:rFonts w:hint="eastAsia" w:ascii="方正黑体简体" w:hAnsi="方正黑体简体" w:eastAsia="方正黑体简体" w:cs="方正黑体简体"/>
          <w:kern w:val="2"/>
          <w:sz w:val="28"/>
          <w:szCs w:val="28"/>
          <w:lang w:val="en-US" w:eastAsia="zh-CN" w:bidi="ar"/>
        </w:rPr>
        <w:t>附件1</w:t>
      </w:r>
      <w:bookmarkStart w:id="0" w:name="_GoBack"/>
      <w:bookmarkEnd w:id="0"/>
    </w:p>
    <w:p>
      <w:pPr>
        <w:keepNext w:val="0"/>
        <w:keepLines w:val="0"/>
        <w:widowControl w:val="0"/>
        <w:suppressLineNumbers w:val="0"/>
        <w:spacing w:before="0" w:beforeAutospacing="0" w:after="0" w:afterAutospacing="0" w:line="700" w:lineRule="exact"/>
        <w:ind w:left="0" w:right="0"/>
        <w:jc w:val="center"/>
        <w:rPr>
          <w:rFonts w:hint="eastAsia" w:ascii="方正小标宋简体" w:hAnsi="方正小标宋简体" w:eastAsia="方正小标宋简体" w:cs="方正小标宋简体"/>
          <w:sz w:val="32"/>
          <w:szCs w:val="32"/>
          <w:lang w:val="en-US"/>
        </w:rPr>
      </w:pPr>
      <w:r>
        <w:rPr>
          <w:rFonts w:hint="eastAsia" w:ascii="方正小标宋简体" w:hAnsi="方正小标宋简体" w:eastAsia="方正小标宋简体" w:cs="方正小标宋简体"/>
          <w:kern w:val="2"/>
          <w:sz w:val="32"/>
          <w:szCs w:val="32"/>
          <w:lang w:val="en-US" w:eastAsia="zh-CN" w:bidi="ar"/>
        </w:rPr>
        <w:t>长治市潞城区人大办2022年度预算</w:t>
      </w:r>
    </w:p>
    <w:p>
      <w:pPr>
        <w:keepNext w:val="0"/>
        <w:keepLines w:val="0"/>
        <w:widowControl w:val="0"/>
        <w:suppressLineNumbers w:val="0"/>
        <w:spacing w:before="0" w:beforeAutospacing="0" w:after="0" w:afterAutospacing="0" w:line="600" w:lineRule="exact"/>
        <w:ind w:left="0" w:right="0"/>
        <w:jc w:val="center"/>
        <w:rPr>
          <w:rFonts w:hint="eastAsia" w:ascii="方正小标宋简体" w:hAnsi="方正小标宋简体" w:eastAsia="方正小标宋简体" w:cs="方正小标宋简体"/>
          <w:sz w:val="32"/>
          <w:szCs w:val="32"/>
          <w:lang w:val="en-US"/>
        </w:rPr>
      </w:pPr>
      <w:r>
        <w:rPr>
          <w:rFonts w:hint="eastAsia" w:ascii="方正小标宋简体" w:hAnsi="方正小标宋简体" w:eastAsia="方正小标宋简体" w:cs="方正小标宋简体"/>
          <w:kern w:val="2"/>
          <w:sz w:val="32"/>
          <w:szCs w:val="32"/>
          <w:lang w:val="en-US" w:eastAsia="zh-CN" w:bidi="ar"/>
        </w:rPr>
        <w:t>目   录</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方正黑体简体" w:hAnsi="方正黑体简体" w:eastAsia="方正黑体简体" w:cs="方正黑体简体"/>
          <w:sz w:val="32"/>
          <w:szCs w:val="32"/>
          <w:lang w:val="en-US"/>
        </w:rPr>
      </w:pP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黑体简体" w:hAnsi="方正黑体简体" w:eastAsia="方正黑体简体" w:cs="方正黑体简体"/>
          <w:kern w:val="2"/>
          <w:sz w:val="30"/>
          <w:szCs w:val="30"/>
          <w:lang w:val="en-US" w:eastAsia="zh-CN" w:bidi="ar"/>
        </w:rPr>
        <w:t>第一部分  概况</w:t>
      </w:r>
      <w:r>
        <w:rPr>
          <w:rFonts w:hint="eastAsia" w:ascii="方正仿宋简体" w:hAnsi="方正仿宋简体" w:eastAsia="方正仿宋简体" w:cs="方正仿宋简体"/>
          <w:kern w:val="2"/>
          <w:sz w:val="30"/>
          <w:szCs w:val="30"/>
          <w:lang w:val="en-US" w:eastAsia="zh-CN" w:bidi="ar"/>
        </w:rPr>
        <w:t>…………………………………………………1</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本部门（单位）职责……………………………………1</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机构设置情况……………………………………………1</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黑体简体" w:hAnsi="方正黑体简体" w:eastAsia="方正黑体简体" w:cs="方正黑体简体"/>
          <w:kern w:val="2"/>
          <w:sz w:val="30"/>
          <w:szCs w:val="30"/>
          <w:lang w:val="en-US" w:eastAsia="zh-CN" w:bidi="ar"/>
        </w:rPr>
        <w:t>第二部分  2022年部门（单位）预算报表</w:t>
      </w:r>
      <w:r>
        <w:rPr>
          <w:rFonts w:hint="eastAsia" w:ascii="方正仿宋简体" w:hAnsi="方正仿宋简体" w:eastAsia="方正仿宋简体" w:cs="方正仿宋简体"/>
          <w:kern w:val="2"/>
          <w:sz w:val="30"/>
          <w:szCs w:val="30"/>
          <w:lang w:val="en-US" w:eastAsia="zh-CN" w:bidi="ar"/>
        </w:rPr>
        <w:t>……………………2</w:t>
      </w:r>
    </w:p>
    <w:p>
      <w:pPr>
        <w:keepNext w:val="0"/>
        <w:keepLines w:val="0"/>
        <w:widowControl w:val="0"/>
        <w:suppressLineNumbers w:val="0"/>
        <w:spacing w:before="0" w:beforeAutospacing="0" w:after="0" w:afterAutospacing="0" w:line="640" w:lineRule="exact"/>
        <w:ind w:left="0" w:right="0" w:firstLine="300" w:firstLineChars="10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一、2022年预算收支总表…………………………2</w:t>
      </w:r>
    </w:p>
    <w:p>
      <w:pPr>
        <w:keepNext w:val="0"/>
        <w:keepLines w:val="0"/>
        <w:widowControl w:val="0"/>
        <w:suppressLineNumbers w:val="0"/>
        <w:spacing w:before="0" w:beforeAutospacing="0" w:after="0" w:afterAutospacing="0" w:line="640" w:lineRule="exact"/>
        <w:ind w:left="0" w:right="0" w:firstLine="300" w:firstLineChars="10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二、2022年预算收入总表…………………………3</w:t>
      </w:r>
    </w:p>
    <w:p>
      <w:pPr>
        <w:keepNext w:val="0"/>
        <w:keepLines w:val="0"/>
        <w:widowControl w:val="0"/>
        <w:suppressLineNumbers w:val="0"/>
        <w:spacing w:before="0" w:beforeAutospacing="0" w:after="0" w:afterAutospacing="0" w:line="640" w:lineRule="exact"/>
        <w:ind w:left="0" w:right="0" w:firstLine="300" w:firstLineChars="10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三、2022年预算支出总表………………………4</w:t>
      </w:r>
    </w:p>
    <w:p>
      <w:pPr>
        <w:keepNext w:val="0"/>
        <w:keepLines w:val="0"/>
        <w:widowControl w:val="0"/>
        <w:suppressLineNumbers w:val="0"/>
        <w:spacing w:before="0" w:beforeAutospacing="0" w:after="0" w:afterAutospacing="0" w:line="640" w:lineRule="exact"/>
        <w:ind w:left="0" w:right="0" w:firstLine="300" w:firstLineChars="10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四、2022年财政拨款收支总表……………………4</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五、2022年一般公共预算支出预算表……………5</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六、2022年一般公共预算安排基本支出分经济科目表…………………………………………………………………5</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七、2022年政府性基金预算收入预算表…………6</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八、2022年政府性基金预算支出预算表…………6</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九、2022年国有资本经营预算收支预算表………6</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kern w:val="2"/>
          <w:sz w:val="30"/>
          <w:szCs w:val="30"/>
          <w:lang w:val="en-US" w:eastAsia="zh-CN" w:bidi="ar"/>
        </w:rPr>
        <w:sectPr>
          <w:pgSz w:w="11906" w:h="16838"/>
          <w:pgMar w:top="1440" w:right="1800" w:bottom="1440" w:left="1800" w:header="851" w:footer="992" w:gutter="0"/>
          <w:cols w:space="425" w:num="1"/>
          <w:docGrid w:type="lines" w:linePitch="312" w:charSpace="0"/>
        </w:sectPr>
      </w:pPr>
      <w:r>
        <w:rPr>
          <w:rFonts w:hint="eastAsia" w:ascii="方正仿宋简体" w:hAnsi="方正仿宋简体" w:eastAsia="方正仿宋简体" w:cs="方正仿宋简体"/>
          <w:kern w:val="2"/>
          <w:sz w:val="30"/>
          <w:szCs w:val="30"/>
          <w:lang w:val="en-US" w:eastAsia="zh-CN" w:bidi="ar"/>
        </w:rPr>
        <w:t xml:space="preserve">  十、2022年“三公”经费支出预算表……………7</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十一、2022年机关运行经费预算财政拨款情况表…………………………………………………………………7</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w:t>
      </w:r>
      <w:r>
        <w:rPr>
          <w:rFonts w:hint="eastAsia" w:ascii="方正黑体简体" w:hAnsi="方正黑体简体" w:eastAsia="方正黑体简体" w:cs="方正黑体简体"/>
          <w:kern w:val="2"/>
          <w:sz w:val="30"/>
          <w:szCs w:val="30"/>
          <w:lang w:val="en-US" w:eastAsia="zh-CN" w:bidi="ar"/>
        </w:rPr>
        <w:t>第三部分  2022年部门（单位）预算情况说明</w:t>
      </w:r>
      <w:r>
        <w:rPr>
          <w:rFonts w:hint="eastAsia" w:ascii="方正仿宋简体" w:hAnsi="方正仿宋简体" w:eastAsia="方正仿宋简体" w:cs="方正仿宋简体"/>
          <w:kern w:val="2"/>
          <w:sz w:val="30"/>
          <w:szCs w:val="30"/>
          <w:lang w:val="en-US" w:eastAsia="zh-CN" w:bidi="ar"/>
        </w:rPr>
        <w:t>………………7</w:t>
      </w:r>
    </w:p>
    <w:p>
      <w:pPr>
        <w:keepNext w:val="0"/>
        <w:keepLines w:val="0"/>
        <w:widowControl w:val="0"/>
        <w:suppressLineNumbers w:val="0"/>
        <w:spacing w:before="0" w:beforeAutospacing="0" w:after="0" w:afterAutospacing="0" w:line="640" w:lineRule="exact"/>
        <w:ind w:left="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 xml:space="preserve">  一、2022年度部门预算数据变动情况及原因………………7</w:t>
      </w:r>
    </w:p>
    <w:p>
      <w:pPr>
        <w:keepNext w:val="0"/>
        <w:keepLines w:val="0"/>
        <w:widowControl w:val="0"/>
        <w:suppressLineNumbers w:val="0"/>
        <w:spacing w:before="0" w:beforeAutospacing="0" w:after="0" w:afterAutospacing="0" w:line="640" w:lineRule="exact"/>
        <w:ind w:left="320" w:right="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二、“三公”经费增减变动原因说明…………………………8</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机关运行经费增减变动原因说明………………………8</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政府采购情况……………………………………………8</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绩效管理情况……………………………………………8</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国有资产占有使用情况…………………………………8</w:t>
      </w:r>
    </w:p>
    <w:p>
      <w:pPr>
        <w:keepNext w:val="0"/>
        <w:keepLines w:val="0"/>
        <w:widowControl w:val="0"/>
        <w:numPr>
          <w:ilvl w:val="0"/>
          <w:numId w:val="1"/>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其他说明…………………………………………………9</w:t>
      </w:r>
    </w:p>
    <w:p>
      <w:pPr>
        <w:keepNext w:val="0"/>
        <w:keepLines w:val="0"/>
        <w:widowControl w:val="0"/>
        <w:numPr>
          <w:ilvl w:val="0"/>
          <w:numId w:val="2"/>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政府购买服务指导性目录……………………………9</w:t>
      </w:r>
    </w:p>
    <w:p>
      <w:pPr>
        <w:keepNext w:val="0"/>
        <w:keepLines w:val="0"/>
        <w:widowControl w:val="0"/>
        <w:numPr>
          <w:ilvl w:val="0"/>
          <w:numId w:val="2"/>
        </w:numPr>
        <w:suppressLineNumbers w:val="0"/>
        <w:spacing w:before="0" w:beforeAutospacing="0" w:after="0" w:afterAutospacing="0" w:line="640" w:lineRule="exact"/>
        <w:ind w:left="320" w:right="0" w:firstLine="0"/>
        <w:jc w:val="distribute"/>
        <w:rPr>
          <w:rFonts w:hint="eastAsia" w:ascii="方正仿宋简体" w:hAnsi="方正仿宋简体" w:eastAsia="方正仿宋简体" w:cs="方正仿宋简体"/>
          <w:sz w:val="30"/>
          <w:szCs w:val="30"/>
          <w:lang w:val="en-US"/>
        </w:rPr>
      </w:pPr>
      <w:r>
        <w:rPr>
          <w:rFonts w:hint="eastAsia" w:ascii="方正仿宋简体" w:hAnsi="方正仿宋简体" w:eastAsia="方正仿宋简体" w:cs="方正仿宋简体"/>
          <w:kern w:val="2"/>
          <w:sz w:val="30"/>
          <w:szCs w:val="30"/>
          <w:lang w:val="en-US" w:eastAsia="zh-CN" w:bidi="ar"/>
        </w:rPr>
        <w:t>其他……………………………………………………9</w:t>
      </w:r>
    </w:p>
    <w:p>
      <w:pPr>
        <w:keepNext w:val="0"/>
        <w:keepLines w:val="0"/>
        <w:widowControl w:val="0"/>
        <w:suppressLineNumbers w:val="0"/>
        <w:spacing w:before="0" w:beforeAutospacing="0" w:after="0" w:afterAutospacing="0" w:line="640" w:lineRule="exact"/>
        <w:ind w:left="0" w:right="0"/>
        <w:jc w:val="distribute"/>
        <w:rPr>
          <w:rFonts w:hint="default" w:ascii="方正仿宋简体" w:hAnsi="方正仿宋简体" w:eastAsia="方正仿宋简体" w:cs="方正仿宋简体"/>
          <w:sz w:val="30"/>
          <w:szCs w:val="30"/>
          <w:lang w:val="en-US"/>
        </w:rPr>
      </w:pPr>
      <w:r>
        <w:rPr>
          <w:rFonts w:hint="eastAsia" w:ascii="方正黑体简体" w:hAnsi="方正黑体简体" w:eastAsia="方正黑体简体" w:cs="方正黑体简体"/>
          <w:kern w:val="2"/>
          <w:sz w:val="30"/>
          <w:szCs w:val="30"/>
          <w:lang w:val="en-US" w:eastAsia="zh-CN" w:bidi="ar"/>
        </w:rPr>
        <w:t>第四部分 名词解释</w:t>
      </w:r>
      <w:r>
        <w:rPr>
          <w:rFonts w:hint="eastAsia" w:ascii="方正仿宋简体" w:hAnsi="方正仿宋简体" w:eastAsia="方正仿宋简体" w:cs="方正仿宋简体"/>
          <w:kern w:val="2"/>
          <w:sz w:val="30"/>
          <w:szCs w:val="30"/>
          <w:lang w:val="en-US" w:eastAsia="zh-CN" w:bidi="ar"/>
        </w:rPr>
        <w:t>……………………………………………9</w:t>
      </w: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widowControl w:val="0"/>
        <w:suppressLineNumbers w:val="0"/>
        <w:spacing w:before="0" w:beforeAutospacing="0" w:after="0" w:afterAutospacing="0" w:line="600" w:lineRule="exact"/>
        <w:ind w:left="0" w:right="0"/>
        <w:jc w:val="both"/>
        <w:rPr>
          <w:rFonts w:hint="eastAsia" w:ascii="方正仿宋简体" w:hAnsi="方正仿宋简体" w:eastAsia="方正仿宋简体" w:cs="方正仿宋简体"/>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sectPr>
          <w:footerReference r:id="rId3" w:type="default"/>
          <w:pgSz w:w="11906" w:h="16838"/>
          <w:pgMar w:top="1440" w:right="1800" w:bottom="1440" w:left="1800" w:header="851" w:footer="992" w:gutter="0"/>
          <w:pgNumType w:start="1"/>
          <w:cols w:space="425" w:num="1"/>
          <w:docGrid w:type="lines" w:linePitch="312" w:charSpace="0"/>
        </w:sect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Autospacing="0" w:afterAutospacing="0" w:line="360" w:lineRule="auto"/>
        <w:ind w:left="0" w:leftChars="0" w:right="0" w:firstLine="720" w:firstLineChars="200"/>
        <w:jc w:val="center"/>
        <w:textAlignment w:val="auto"/>
        <w:rPr>
          <w:rFonts w:hint="eastAsia" w:ascii="黑体" w:hAnsi="黑体" w:eastAsia="黑体" w:cs="黑体"/>
          <w:b w:val="0"/>
          <w:bCs w:val="0"/>
          <w:sz w:val="32"/>
          <w:szCs w:val="32"/>
          <w:lang w:val="en-US"/>
        </w:rPr>
      </w:pPr>
      <w:r>
        <w:rPr>
          <w:rFonts w:hint="eastAsia" w:ascii="黑体" w:hAnsi="黑体" w:eastAsia="黑体" w:cs="黑体"/>
          <w:b w:val="0"/>
          <w:bCs w:val="0"/>
          <w:kern w:val="2"/>
          <w:sz w:val="36"/>
          <w:szCs w:val="36"/>
          <w:lang w:val="en-US" w:eastAsia="zh-CN" w:bidi="ar"/>
        </w:rPr>
        <w:t>概况</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黑体" w:hAnsi="黑体" w:eastAsia="黑体" w:cs="黑体"/>
          <w:b w:val="0"/>
          <w:bCs w:val="0"/>
          <w:sz w:val="32"/>
          <w:szCs w:val="32"/>
          <w:lang w:val="en-US"/>
        </w:rPr>
      </w:pPr>
      <w:r>
        <w:rPr>
          <w:rFonts w:hint="eastAsia" w:ascii="黑体" w:hAnsi="黑体" w:eastAsia="黑体" w:cs="黑体"/>
          <w:b w:val="0"/>
          <w:bCs w:val="0"/>
          <w:kern w:val="2"/>
          <w:sz w:val="32"/>
          <w:szCs w:val="32"/>
          <w:lang w:val="en-US" w:eastAsia="zh-CN" w:bidi="ar"/>
        </w:rPr>
        <w:t>本部门（单位）职责</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负责区人民代表大会会议、区人大常委会会议、主任会议以及以区人大常委会名义召开的其他会议的会务工作；负责承办区人大常委会文件、报告、有关文稿和领导讲话的起草工作；负责承办文书档案和资料信息工作；负责办理各种来文、函、电及印章管理工作；负责区人大常委会机关的行政、财务、房产和后勤保障、安全保卫、接待和外事活动管理工作；负责机关离退休人员的管理服务工作，承办有关信访事项；负责承办区人大常委会会议、主任会议决定的事项及领导批示的督办落实工作；负责承办有关民族、侨务、外事等方面工作，联系民族、侨务、外事等行政部门和社会团体，调查研究和组织检查民族、侨务、外事等方面的法律、法规的实施情况和重大问题；负责区人大常委会机关机要、档案的管理工作，承办报刊、杂志及信件的征订收发工作；开展调查研究，负责组织人民代表大会制度理论和人大工作的研究与宣传；搜集和整理有关资料，提供信息。编辑、印发区人大常委会公告和有关刊物，负责机关图书、报刊、音像器材资料的管理；负责区人大常委会领导交办的其他工作。</w:t>
      </w:r>
      <w:r>
        <w:rPr>
          <w:rFonts w:hint="eastAsia" w:asciiTheme="minorEastAsia" w:hAnsiTheme="minorEastAsia" w:eastAsiaTheme="minorEastAsia" w:cstheme="minorEastAsia"/>
          <w:b w:val="0"/>
          <w:bCs w:val="0"/>
          <w:kern w:val="2"/>
          <w:sz w:val="32"/>
          <w:szCs w:val="24"/>
          <w:lang w:val="en-US" w:eastAsia="zh-CN" w:bidi="ar"/>
        </w:rPr>
        <w:t xml:space="preserve"> </w:t>
      </w:r>
    </w:p>
    <w:p>
      <w:pPr>
        <w:keepNext w:val="0"/>
        <w:keepLines w:val="0"/>
        <w:pageBreakBefore w:val="0"/>
        <w:widowControl w:val="0"/>
        <w:numPr>
          <w:ilvl w:val="0"/>
          <w:numId w:val="4"/>
        </w:numPr>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黑体" w:hAnsi="黑体" w:eastAsia="黑体" w:cs="黑体"/>
          <w:b w:val="0"/>
          <w:bCs w:val="0"/>
          <w:sz w:val="32"/>
          <w:szCs w:val="32"/>
          <w:lang w:val="en-US"/>
        </w:rPr>
      </w:pPr>
      <w:r>
        <w:rPr>
          <w:rFonts w:hint="eastAsia" w:ascii="黑体" w:hAnsi="黑体" w:eastAsia="黑体" w:cs="黑体"/>
          <w:b w:val="0"/>
          <w:bCs w:val="0"/>
          <w:kern w:val="2"/>
          <w:sz w:val="32"/>
          <w:szCs w:val="32"/>
          <w:lang w:val="en-US" w:eastAsia="zh-CN" w:bidi="ar"/>
        </w:rPr>
        <w:t>机构设置情况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长治市潞城区人民代表大会常务委员会是地方国家权力机关—长治市潞城区人民代表大会的常设机构，潞城区人大办，为行政单位，内设办公室和人事代表工委、财经工委、城环工委、农工委、法工委、教科文卫工委。</w:t>
      </w:r>
    </w:p>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beforeAutospacing="0" w:afterAutospacing="0" w:line="360" w:lineRule="auto"/>
        <w:ind w:left="0" w:leftChars="0" w:right="0" w:firstLine="720" w:firstLineChars="200"/>
        <w:jc w:val="both"/>
        <w:textAlignment w:val="auto"/>
        <w:rPr>
          <w:rFonts w:hint="eastAsia" w:ascii="黑体" w:hAnsi="黑体" w:eastAsia="黑体" w:cs="黑体"/>
          <w:b w:val="0"/>
          <w:bCs w:val="0"/>
          <w:sz w:val="36"/>
          <w:szCs w:val="36"/>
          <w:lang w:val="en-US"/>
        </w:rPr>
      </w:pPr>
      <w:r>
        <w:rPr>
          <w:rFonts w:hint="eastAsia" w:ascii="黑体" w:hAnsi="黑体" w:eastAsia="黑体" w:cs="黑体"/>
          <w:b w:val="0"/>
          <w:bCs w:val="0"/>
          <w:kern w:val="2"/>
          <w:sz w:val="36"/>
          <w:szCs w:val="36"/>
          <w:lang w:val="en-US" w:eastAsia="zh-CN" w:bidi="ar"/>
        </w:rPr>
        <w:t>2022年度部门（单位）预算报表</w:t>
      </w: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2022年预算收支总表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59264" behindDoc="1" locked="0" layoutInCell="1" allowOverlap="1">
            <wp:simplePos x="0" y="0"/>
            <wp:positionH relativeFrom="column">
              <wp:posOffset>449580</wp:posOffset>
            </wp:positionH>
            <wp:positionV relativeFrom="paragraph">
              <wp:posOffset>121920</wp:posOffset>
            </wp:positionV>
            <wp:extent cx="4836795" cy="6345555"/>
            <wp:effectExtent l="0" t="0" r="9525" b="952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4836795" cy="6345555"/>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numPr>
          <w:ilvl w:val="0"/>
          <w:numId w:val="5"/>
        </w:numPr>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2022年预算收入总表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60" w:lineRule="auto"/>
        <w:ind w:left="0" w:leftChars="0" w:right="0" w:rightChars="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9504" behindDoc="1" locked="0" layoutInCell="1" allowOverlap="1">
            <wp:simplePos x="0" y="0"/>
            <wp:positionH relativeFrom="column">
              <wp:posOffset>83820</wp:posOffset>
            </wp:positionH>
            <wp:positionV relativeFrom="paragraph">
              <wp:posOffset>30480</wp:posOffset>
            </wp:positionV>
            <wp:extent cx="5269865" cy="3644265"/>
            <wp:effectExtent l="0" t="0" r="3175" b="0"/>
            <wp:wrapTight wrapText="bothSides">
              <wp:wrapPolygon>
                <wp:start x="20051" y="271"/>
                <wp:lineTo x="10244" y="1084"/>
                <wp:lineTo x="8683" y="1265"/>
                <wp:lineTo x="8683" y="1716"/>
                <wp:lineTo x="10744" y="3162"/>
                <wp:lineTo x="0" y="3162"/>
                <wp:lineTo x="0" y="21047"/>
                <wp:lineTo x="21551" y="21047"/>
                <wp:lineTo x="21551" y="20776"/>
                <wp:lineTo x="20176" y="20505"/>
                <wp:lineTo x="21551" y="20053"/>
                <wp:lineTo x="21551" y="19059"/>
                <wp:lineTo x="20176" y="19059"/>
                <wp:lineTo x="21551" y="18337"/>
                <wp:lineTo x="21551" y="18156"/>
                <wp:lineTo x="20176" y="17614"/>
                <wp:lineTo x="21551" y="17524"/>
                <wp:lineTo x="21551" y="16440"/>
                <wp:lineTo x="20176" y="16169"/>
                <wp:lineTo x="21551" y="15808"/>
                <wp:lineTo x="21551" y="14724"/>
                <wp:lineTo x="20176" y="14724"/>
                <wp:lineTo x="21551" y="14091"/>
                <wp:lineTo x="21551" y="13911"/>
                <wp:lineTo x="20176" y="13278"/>
                <wp:lineTo x="21551" y="13188"/>
                <wp:lineTo x="21551" y="12104"/>
                <wp:lineTo x="20176" y="11833"/>
                <wp:lineTo x="21551" y="11472"/>
                <wp:lineTo x="21551" y="10388"/>
                <wp:lineTo x="20176" y="10388"/>
                <wp:lineTo x="21551" y="9756"/>
                <wp:lineTo x="21551" y="9575"/>
                <wp:lineTo x="20176" y="8943"/>
                <wp:lineTo x="21551" y="8852"/>
                <wp:lineTo x="21551" y="7859"/>
                <wp:lineTo x="20176" y="7497"/>
                <wp:lineTo x="21551" y="7136"/>
                <wp:lineTo x="21551" y="6052"/>
                <wp:lineTo x="20176" y="6052"/>
                <wp:lineTo x="21551" y="5420"/>
                <wp:lineTo x="21551" y="2620"/>
                <wp:lineTo x="12868" y="1716"/>
                <wp:lineTo x="21551" y="632"/>
                <wp:lineTo x="21551" y="271"/>
                <wp:lineTo x="21363" y="271"/>
                <wp:lineTo x="20051" y="271"/>
              </wp:wrapPolygon>
            </wp:wrapTight>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7"/>
                    <a:stretch>
                      <a:fillRect/>
                    </a:stretch>
                  </pic:blipFill>
                  <pic:spPr>
                    <a:xfrm>
                      <a:off x="0" y="0"/>
                      <a:ext cx="5269865" cy="3644265"/>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三、2022年预算支出总表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rPr>
        <w:drawing>
          <wp:anchor distT="0" distB="0" distL="114300" distR="114300" simplePos="0" relativeHeight="251660288" behindDoc="1" locked="0" layoutInCell="1" allowOverlap="1">
            <wp:simplePos x="0" y="0"/>
            <wp:positionH relativeFrom="column">
              <wp:posOffset>30480</wp:posOffset>
            </wp:positionH>
            <wp:positionV relativeFrom="paragraph">
              <wp:posOffset>274320</wp:posOffset>
            </wp:positionV>
            <wp:extent cx="5269230" cy="4080510"/>
            <wp:effectExtent l="0" t="0" r="3810" b="381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stretch>
                      <a:fillRect/>
                    </a:stretch>
                  </pic:blipFill>
                  <pic:spPr>
                    <a:xfrm>
                      <a:off x="0" y="0"/>
                      <a:ext cx="5269230" cy="4080510"/>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1312" behindDoc="1" locked="0" layoutInCell="1" allowOverlap="1">
            <wp:simplePos x="0" y="0"/>
            <wp:positionH relativeFrom="column">
              <wp:posOffset>-129540</wp:posOffset>
            </wp:positionH>
            <wp:positionV relativeFrom="paragraph">
              <wp:posOffset>420370</wp:posOffset>
            </wp:positionV>
            <wp:extent cx="5268595" cy="4525645"/>
            <wp:effectExtent l="0" t="0" r="4445" b="635"/>
            <wp:wrapTight wrapText="bothSides">
              <wp:wrapPolygon>
                <wp:start x="0" y="0"/>
                <wp:lineTo x="0" y="21530"/>
                <wp:lineTo x="18619" y="21530"/>
                <wp:lineTo x="21556" y="21094"/>
                <wp:lineTo x="21556" y="20948"/>
                <wp:lineTo x="18619" y="20948"/>
                <wp:lineTo x="21556" y="20512"/>
                <wp:lineTo x="21556" y="19785"/>
                <wp:lineTo x="18619" y="19785"/>
                <wp:lineTo x="21556" y="19421"/>
                <wp:lineTo x="21556" y="18694"/>
                <wp:lineTo x="18619" y="18621"/>
                <wp:lineTo x="21556" y="18257"/>
                <wp:lineTo x="21556" y="17602"/>
                <wp:lineTo x="18619" y="17457"/>
                <wp:lineTo x="21556" y="17166"/>
                <wp:lineTo x="21556" y="14257"/>
                <wp:lineTo x="18619" y="13966"/>
                <wp:lineTo x="21556" y="13820"/>
                <wp:lineTo x="21556" y="13093"/>
                <wp:lineTo x="18619" y="12802"/>
                <wp:lineTo x="21556" y="12656"/>
                <wp:lineTo x="21556" y="12002"/>
                <wp:lineTo x="18619" y="11638"/>
                <wp:lineTo x="21556" y="11565"/>
                <wp:lineTo x="21556" y="10838"/>
                <wp:lineTo x="18619" y="10474"/>
                <wp:lineTo x="21556" y="10474"/>
                <wp:lineTo x="21556" y="9747"/>
                <wp:lineTo x="18619" y="9310"/>
                <wp:lineTo x="21556" y="9310"/>
                <wp:lineTo x="21556" y="6983"/>
                <wp:lineTo x="18619" y="6983"/>
                <wp:lineTo x="21556" y="6546"/>
                <wp:lineTo x="21556" y="5819"/>
                <wp:lineTo x="18619" y="5819"/>
                <wp:lineTo x="21556" y="5383"/>
                <wp:lineTo x="21556" y="4728"/>
                <wp:lineTo x="18619" y="4655"/>
                <wp:lineTo x="21556" y="4292"/>
                <wp:lineTo x="21556" y="3564"/>
                <wp:lineTo x="20743" y="3491"/>
                <wp:lineTo x="21556" y="3200"/>
                <wp:lineTo x="21556" y="2473"/>
                <wp:lineTo x="14058" y="2328"/>
                <wp:lineTo x="21556" y="2037"/>
                <wp:lineTo x="21556" y="1455"/>
                <wp:lineTo x="13308" y="1164"/>
                <wp:lineTo x="21556" y="509"/>
                <wp:lineTo x="21556"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5268595" cy="4525645"/>
                    </a:xfrm>
                    <a:prstGeom prst="rect">
                      <a:avLst/>
                    </a:prstGeom>
                    <a:noFill/>
                    <a:ln>
                      <a:noFill/>
                    </a:ln>
                  </pic:spPr>
                </pic:pic>
              </a:graphicData>
            </a:graphic>
          </wp:anchor>
        </w:drawing>
      </w:r>
      <w:r>
        <w:rPr>
          <w:rFonts w:hint="eastAsia" w:asciiTheme="minorEastAsia" w:hAnsiTheme="minorEastAsia" w:eastAsiaTheme="minorEastAsia" w:cstheme="minorEastAsia"/>
          <w:b w:val="0"/>
          <w:bCs w:val="0"/>
          <w:kern w:val="2"/>
          <w:sz w:val="32"/>
          <w:szCs w:val="32"/>
          <w:lang w:val="en-US" w:eastAsia="zh-CN" w:bidi="ar"/>
        </w:rPr>
        <w:t>四、2022年财政拨款收支总表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2336" behindDoc="1" locked="0" layoutInCell="1" allowOverlap="1">
            <wp:simplePos x="0" y="0"/>
            <wp:positionH relativeFrom="column">
              <wp:posOffset>144780</wp:posOffset>
            </wp:positionH>
            <wp:positionV relativeFrom="paragraph">
              <wp:posOffset>619760</wp:posOffset>
            </wp:positionV>
            <wp:extent cx="5268595" cy="4293235"/>
            <wp:effectExtent l="0" t="0" r="4445" b="4445"/>
            <wp:wrapTight wrapText="bothSides">
              <wp:wrapPolygon>
                <wp:start x="19119" y="230"/>
                <wp:lineTo x="5998" y="1303"/>
                <wp:lineTo x="5998" y="1917"/>
                <wp:lineTo x="9122" y="2684"/>
                <wp:lineTo x="0" y="2760"/>
                <wp:lineTo x="0" y="21546"/>
                <wp:lineTo x="21556" y="21546"/>
                <wp:lineTo x="21556" y="2760"/>
                <wp:lineTo x="12808" y="2684"/>
                <wp:lineTo x="15558" y="1994"/>
                <wp:lineTo x="15495" y="1457"/>
                <wp:lineTo x="21431" y="613"/>
                <wp:lineTo x="21556" y="307"/>
                <wp:lineTo x="21181" y="230"/>
                <wp:lineTo x="19119" y="230"/>
              </wp:wrapPolygon>
            </wp:wrapTight>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5268595" cy="4293235"/>
                    </a:xfrm>
                    <a:prstGeom prst="rect">
                      <a:avLst/>
                    </a:prstGeom>
                    <a:noFill/>
                    <a:ln>
                      <a:noFill/>
                    </a:ln>
                  </pic:spPr>
                </pic:pic>
              </a:graphicData>
            </a:graphic>
          </wp:anchor>
        </w:drawing>
      </w:r>
      <w:r>
        <w:rPr>
          <w:rFonts w:hint="eastAsia" w:asciiTheme="minorEastAsia" w:hAnsiTheme="minorEastAsia" w:eastAsiaTheme="minorEastAsia" w:cstheme="minorEastAsia"/>
          <w:b w:val="0"/>
          <w:bCs w:val="0"/>
          <w:kern w:val="2"/>
          <w:sz w:val="32"/>
          <w:szCs w:val="32"/>
          <w:lang w:val="en-US" w:eastAsia="zh-CN" w:bidi="ar"/>
        </w:rPr>
        <w:t>五、2022年一般公共预算支出预算表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六、2022年一般公共预算安排基本支出分经济科目表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rPr>
        <w:drawing>
          <wp:anchor distT="0" distB="0" distL="114300" distR="114300" simplePos="0" relativeHeight="251663360" behindDoc="1" locked="0" layoutInCell="1" allowOverlap="1">
            <wp:simplePos x="0" y="0"/>
            <wp:positionH relativeFrom="column">
              <wp:posOffset>60960</wp:posOffset>
            </wp:positionH>
            <wp:positionV relativeFrom="paragraph">
              <wp:posOffset>228600</wp:posOffset>
            </wp:positionV>
            <wp:extent cx="5273040" cy="2736215"/>
            <wp:effectExtent l="0" t="0" r="0" b="6985"/>
            <wp:wrapTight wrapText="bothSides">
              <wp:wrapPolygon>
                <wp:start x="19103" y="241"/>
                <wp:lineTo x="10800" y="2166"/>
                <wp:lineTo x="3371" y="2286"/>
                <wp:lineTo x="3371" y="3850"/>
                <wp:lineTo x="10800" y="4090"/>
                <wp:lineTo x="16106" y="5414"/>
                <wp:lineTo x="19415" y="6015"/>
                <wp:lineTo x="0" y="6136"/>
                <wp:lineTo x="0" y="21535"/>
                <wp:lineTo x="21538" y="21535"/>
                <wp:lineTo x="21538" y="5293"/>
                <wp:lineTo x="20539" y="5053"/>
                <wp:lineTo x="10800" y="4090"/>
                <wp:lineTo x="18229" y="3850"/>
                <wp:lineTo x="18229" y="2286"/>
                <wp:lineTo x="10800" y="2166"/>
                <wp:lineTo x="21163" y="1203"/>
                <wp:lineTo x="21538" y="722"/>
                <wp:lineTo x="21163" y="241"/>
                <wp:lineTo x="19103" y="241"/>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5273040" cy="2736215"/>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七、2022年政府性基金预算收入预算表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rPr>
        <w:drawing>
          <wp:anchor distT="0" distB="0" distL="114300" distR="114300" simplePos="0" relativeHeight="251664384" behindDoc="1" locked="0" layoutInCell="1" allowOverlap="1">
            <wp:simplePos x="0" y="0"/>
            <wp:positionH relativeFrom="column">
              <wp:posOffset>114300</wp:posOffset>
            </wp:positionH>
            <wp:positionV relativeFrom="paragraph">
              <wp:posOffset>335280</wp:posOffset>
            </wp:positionV>
            <wp:extent cx="5273675" cy="1309370"/>
            <wp:effectExtent l="0" t="0" r="14605" b="1270"/>
            <wp:wrapTight wrapText="bothSides">
              <wp:wrapPolygon>
                <wp:start x="19163" y="503"/>
                <wp:lineTo x="10799" y="4525"/>
                <wp:lineTo x="5431" y="5280"/>
                <wp:lineTo x="5431" y="8045"/>
                <wp:lineTo x="10799" y="8548"/>
                <wp:lineTo x="10861" y="12570"/>
                <wp:lineTo x="0" y="12570"/>
                <wp:lineTo x="0" y="21370"/>
                <wp:lineTo x="21535" y="21370"/>
                <wp:lineTo x="21535" y="12570"/>
                <wp:lineTo x="21473" y="10559"/>
                <wp:lineTo x="10799" y="8548"/>
                <wp:lineTo x="16042" y="8296"/>
                <wp:lineTo x="16042" y="5028"/>
                <wp:lineTo x="10799" y="4525"/>
                <wp:lineTo x="21285" y="2514"/>
                <wp:lineTo x="21535" y="1257"/>
                <wp:lineTo x="21223" y="503"/>
                <wp:lineTo x="19163" y="503"/>
              </wp:wrapPolygon>
            </wp:wrapTight>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5273675" cy="1309370"/>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5408" behindDoc="1" locked="0" layoutInCell="1" allowOverlap="1">
            <wp:simplePos x="0" y="0"/>
            <wp:positionH relativeFrom="column">
              <wp:posOffset>152400</wp:posOffset>
            </wp:positionH>
            <wp:positionV relativeFrom="paragraph">
              <wp:posOffset>838200</wp:posOffset>
            </wp:positionV>
            <wp:extent cx="5269230" cy="1383030"/>
            <wp:effectExtent l="0" t="0" r="3810" b="3810"/>
            <wp:wrapTight wrapText="bothSides">
              <wp:wrapPolygon>
                <wp:start x="18992" y="476"/>
                <wp:lineTo x="5748" y="4522"/>
                <wp:lineTo x="5810" y="6664"/>
                <wp:lineTo x="10808" y="8093"/>
                <wp:lineTo x="0" y="10949"/>
                <wp:lineTo x="0" y="21421"/>
                <wp:lineTo x="21553" y="21421"/>
                <wp:lineTo x="21553" y="9283"/>
                <wp:lineTo x="10808" y="8093"/>
                <wp:lineTo x="15681" y="7140"/>
                <wp:lineTo x="15931" y="5474"/>
                <wp:lineTo x="15493" y="4284"/>
                <wp:lineTo x="21366" y="1904"/>
                <wp:lineTo x="21553" y="476"/>
                <wp:lineTo x="21116" y="476"/>
                <wp:lineTo x="18992" y="476"/>
              </wp:wrapPolygon>
            </wp:wrapTight>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5269230" cy="1383030"/>
                    </a:xfrm>
                    <a:prstGeom prst="rect">
                      <a:avLst/>
                    </a:prstGeom>
                    <a:noFill/>
                    <a:ln>
                      <a:noFill/>
                    </a:ln>
                  </pic:spPr>
                </pic:pic>
              </a:graphicData>
            </a:graphic>
          </wp:anchor>
        </w:drawing>
      </w:r>
      <w:r>
        <w:rPr>
          <w:rFonts w:hint="eastAsia" w:asciiTheme="minorEastAsia" w:hAnsiTheme="minorEastAsia" w:eastAsiaTheme="minorEastAsia" w:cstheme="minorEastAsia"/>
          <w:b w:val="0"/>
          <w:bCs w:val="0"/>
          <w:kern w:val="2"/>
          <w:sz w:val="32"/>
          <w:szCs w:val="32"/>
          <w:lang w:val="en-US" w:eastAsia="zh-CN" w:bidi="ar"/>
        </w:rPr>
        <w:t>八、2022年政府性基金预算支出预算表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6432" behindDoc="1" locked="0" layoutInCell="1" allowOverlap="1">
            <wp:simplePos x="0" y="0"/>
            <wp:positionH relativeFrom="column">
              <wp:posOffset>-22860</wp:posOffset>
            </wp:positionH>
            <wp:positionV relativeFrom="paragraph">
              <wp:posOffset>645160</wp:posOffset>
            </wp:positionV>
            <wp:extent cx="5269230" cy="1099820"/>
            <wp:effectExtent l="0" t="0" r="3810" b="0"/>
            <wp:wrapTight wrapText="bothSides">
              <wp:wrapPolygon>
                <wp:start x="19741" y="299"/>
                <wp:lineTo x="9184" y="3292"/>
                <wp:lineTo x="6560" y="4190"/>
                <wp:lineTo x="0" y="9279"/>
                <wp:lineTo x="0" y="19754"/>
                <wp:lineTo x="21553" y="19754"/>
                <wp:lineTo x="21553" y="7483"/>
                <wp:lineTo x="14993" y="5088"/>
                <wp:lineTo x="21428" y="1497"/>
                <wp:lineTo x="21553" y="599"/>
                <wp:lineTo x="21303" y="299"/>
                <wp:lineTo x="19741" y="299"/>
              </wp:wrapPolygon>
            </wp:wrapTight>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5269230" cy="1099820"/>
                    </a:xfrm>
                    <a:prstGeom prst="rect">
                      <a:avLst/>
                    </a:prstGeom>
                    <a:noFill/>
                    <a:ln>
                      <a:noFill/>
                    </a:ln>
                  </pic:spPr>
                </pic:pic>
              </a:graphicData>
            </a:graphic>
          </wp:anchor>
        </w:drawing>
      </w:r>
      <w:r>
        <w:rPr>
          <w:rFonts w:hint="eastAsia" w:asciiTheme="minorEastAsia" w:hAnsiTheme="minorEastAsia" w:eastAsiaTheme="minorEastAsia" w:cstheme="minorEastAsia"/>
          <w:b w:val="0"/>
          <w:bCs w:val="0"/>
          <w:kern w:val="2"/>
          <w:sz w:val="32"/>
          <w:szCs w:val="32"/>
          <w:lang w:val="en-US" w:eastAsia="zh-CN" w:bidi="ar"/>
        </w:rPr>
        <w:t>九、2022年国有资本经营预算收支预算表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7456" behindDoc="1" locked="0" layoutInCell="1" allowOverlap="1">
            <wp:simplePos x="0" y="0"/>
            <wp:positionH relativeFrom="column">
              <wp:posOffset>205740</wp:posOffset>
            </wp:positionH>
            <wp:positionV relativeFrom="paragraph">
              <wp:posOffset>332740</wp:posOffset>
            </wp:positionV>
            <wp:extent cx="5114925" cy="2495550"/>
            <wp:effectExtent l="0" t="0" r="5715" b="3810"/>
            <wp:wrapTight wrapText="bothSides">
              <wp:wrapPolygon>
                <wp:start x="18664" y="396"/>
                <wp:lineTo x="18535" y="396"/>
                <wp:lineTo x="10812" y="2506"/>
                <wp:lineTo x="837" y="2902"/>
                <wp:lineTo x="837" y="4485"/>
                <wp:lineTo x="10812" y="4617"/>
                <wp:lineTo x="19050" y="6727"/>
                <wp:lineTo x="0" y="7123"/>
                <wp:lineTo x="0" y="21501"/>
                <wp:lineTo x="21560" y="21501"/>
                <wp:lineTo x="21560" y="6991"/>
                <wp:lineTo x="21302" y="6727"/>
                <wp:lineTo x="21560" y="6068"/>
                <wp:lineTo x="20273" y="5804"/>
                <wp:lineTo x="10812" y="4617"/>
                <wp:lineTo x="20723" y="4485"/>
                <wp:lineTo x="20723" y="2770"/>
                <wp:lineTo x="10812" y="2506"/>
                <wp:lineTo x="21238" y="1319"/>
                <wp:lineTo x="21560" y="660"/>
                <wp:lineTo x="20852" y="396"/>
                <wp:lineTo x="18664" y="396"/>
              </wp:wrapPolygon>
            </wp:wrapTight>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5114925" cy="2495550"/>
                    </a:xfrm>
                    <a:prstGeom prst="rect">
                      <a:avLst/>
                    </a:prstGeom>
                    <a:noFill/>
                    <a:ln>
                      <a:noFill/>
                    </a:ln>
                  </pic:spPr>
                </pic:pic>
              </a:graphicData>
            </a:graphic>
          </wp:anchor>
        </w:drawing>
      </w:r>
      <w:r>
        <w:rPr>
          <w:rFonts w:hint="eastAsia" w:asciiTheme="minorEastAsia" w:hAnsiTheme="minorEastAsia" w:eastAsiaTheme="minorEastAsia" w:cstheme="minorEastAsia"/>
          <w:b w:val="0"/>
          <w:bCs w:val="0"/>
          <w:kern w:val="2"/>
          <w:sz w:val="32"/>
          <w:szCs w:val="32"/>
          <w:lang w:val="en-US" w:eastAsia="zh-CN" w:bidi="ar"/>
        </w:rPr>
        <w:t>十、2022年“三公”经费支出预算表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十一、2022年机关运行经费预算财政拨款情况表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42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rPr>
        <w:drawing>
          <wp:anchor distT="0" distB="0" distL="114300" distR="114300" simplePos="0" relativeHeight="251668480" behindDoc="1" locked="0" layoutInCell="1" allowOverlap="1">
            <wp:simplePos x="0" y="0"/>
            <wp:positionH relativeFrom="column">
              <wp:posOffset>-60960</wp:posOffset>
            </wp:positionH>
            <wp:positionV relativeFrom="paragraph">
              <wp:posOffset>7620</wp:posOffset>
            </wp:positionV>
            <wp:extent cx="5272405" cy="1042035"/>
            <wp:effectExtent l="0" t="0" r="635" b="9525"/>
            <wp:wrapTight wrapText="bothSides">
              <wp:wrapPolygon>
                <wp:start x="18980" y="632"/>
                <wp:lineTo x="4246" y="5054"/>
                <wp:lineTo x="4246" y="7582"/>
                <wp:lineTo x="14360" y="10741"/>
                <wp:lineTo x="19667" y="10741"/>
                <wp:lineTo x="0" y="12320"/>
                <wp:lineTo x="0" y="21166"/>
                <wp:lineTo x="21540" y="21166"/>
                <wp:lineTo x="21540" y="10741"/>
                <wp:lineTo x="21353" y="10109"/>
                <wp:lineTo x="17295" y="5686"/>
                <wp:lineTo x="21353" y="2211"/>
                <wp:lineTo x="21540" y="632"/>
                <wp:lineTo x="20978" y="632"/>
                <wp:lineTo x="18980" y="632"/>
              </wp:wrapPolygon>
            </wp:wrapTight>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5272405" cy="1042035"/>
                    </a:xfrm>
                    <a:prstGeom prst="rect">
                      <a:avLst/>
                    </a:prstGeom>
                    <a:noFill/>
                    <a:ln>
                      <a:noFill/>
                    </a:ln>
                  </pic:spPr>
                </pic:pic>
              </a:graphicData>
            </a:graphic>
          </wp:anchor>
        </w:drawing>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right="0"/>
        <w:jc w:val="both"/>
        <w:textAlignment w:val="auto"/>
        <w:rPr>
          <w:rFonts w:hint="eastAsia" w:asciiTheme="minorEastAsia" w:hAnsiTheme="minorEastAsia" w:eastAsiaTheme="minorEastAsia" w:cstheme="minorEastAsia"/>
          <w:b w:val="0"/>
          <w:bCs w:val="0"/>
          <w:sz w:val="32"/>
          <w:szCs w:val="32"/>
          <w:lang w:val="en-US"/>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第三部分   2022年度部门(单位)预算情况说明</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一、2022年度部门预算数据变动情况及原因</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年预算汇总数为</w:t>
      </w:r>
      <w:r>
        <w:rPr>
          <w:rFonts w:hint="eastAsia" w:ascii="仿宋_GB2312" w:hAnsi="仿宋_GB2312" w:eastAsia="仿宋_GB2312" w:cs="仿宋_GB2312"/>
          <w:sz w:val="32"/>
          <w:szCs w:val="32"/>
          <w:lang w:val="en-US" w:eastAsia="zh-CN"/>
        </w:rPr>
        <w:t>422.02</w:t>
      </w:r>
      <w:r>
        <w:rPr>
          <w:rFonts w:hint="eastAsia" w:ascii="仿宋_GB2312" w:hAnsi="仿宋_GB2312" w:eastAsia="仿宋_GB2312" w:cs="仿宋_GB2312"/>
          <w:sz w:val="32"/>
          <w:szCs w:val="32"/>
        </w:rPr>
        <w:t>万元，去年预算汇总数为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488.25</w:t>
      </w:r>
      <w:r>
        <w:rPr>
          <w:rFonts w:hint="eastAsia" w:ascii="仿宋_GB2312" w:hAnsi="仿宋_GB2312" w:eastAsia="仿宋_GB2312" w:cs="仿宋_GB2312"/>
          <w:sz w:val="32"/>
          <w:szCs w:val="32"/>
        </w:rPr>
        <w:t>万元，比去年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66.23</w:t>
      </w:r>
      <w:r>
        <w:rPr>
          <w:rFonts w:hint="eastAsia" w:ascii="仿宋_GB2312" w:hAnsi="仿宋_GB2312" w:eastAsia="仿宋_GB2312" w:cs="仿宋_GB2312"/>
          <w:sz w:val="32"/>
          <w:szCs w:val="32"/>
        </w:rPr>
        <w:t>万元，主要因为</w:t>
      </w:r>
      <w:r>
        <w:rPr>
          <w:rFonts w:hint="eastAsia" w:ascii="仿宋_GB2312" w:hAnsi="仿宋" w:eastAsia="仿宋_GB2312"/>
          <w:sz w:val="30"/>
          <w:szCs w:val="30"/>
          <w:lang w:val="en-US" w:eastAsia="zh-CN"/>
        </w:rPr>
        <w:t>2022年预算人大代表联络中心单独预算。</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仿宋_GB2312" w:hAnsi="仿宋_GB2312" w:eastAsia="仿宋_GB2312" w:cs="仿宋_GB2312"/>
          <w:sz w:val="32"/>
          <w:szCs w:val="32"/>
        </w:rPr>
        <w:t>2021年一般公共服务预算</w:t>
      </w:r>
      <w:r>
        <w:rPr>
          <w:rFonts w:hint="eastAsia" w:ascii="仿宋_GB2312" w:hAnsi="仿宋_GB2312" w:eastAsia="仿宋_GB2312" w:cs="仿宋_GB2312"/>
          <w:sz w:val="32"/>
          <w:szCs w:val="32"/>
          <w:lang w:val="en-US" w:eastAsia="zh-CN"/>
        </w:rPr>
        <w:t>358.15</w:t>
      </w:r>
      <w:r>
        <w:rPr>
          <w:rFonts w:hint="eastAsia" w:ascii="仿宋_GB2312" w:hAnsi="仿宋_GB2312" w:eastAsia="仿宋_GB2312" w:cs="仿宋_GB2312"/>
          <w:sz w:val="32"/>
          <w:szCs w:val="32"/>
        </w:rPr>
        <w:t>万元，比去年减少</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48.5</w:t>
      </w:r>
      <w:r>
        <w:rPr>
          <w:rFonts w:hint="eastAsia" w:ascii="仿宋_GB2312" w:hAnsi="仿宋_GB2312" w:eastAsia="仿宋_GB2312" w:cs="仿宋_GB2312"/>
          <w:sz w:val="32"/>
          <w:szCs w:val="32"/>
        </w:rPr>
        <w:t>万元。</w:t>
      </w:r>
      <w:r>
        <w:rPr>
          <w:rFonts w:hint="eastAsia" w:asciiTheme="minorEastAsia" w:hAnsiTheme="minorEastAsia" w:eastAsiaTheme="minorEastAsia" w:cstheme="minorEastAsia"/>
          <w:b w:val="0"/>
          <w:bCs w:val="0"/>
          <w:kern w:val="2"/>
          <w:sz w:val="32"/>
          <w:szCs w:val="32"/>
          <w:lang w:val="en-US" w:eastAsia="zh-CN" w:bidi="ar"/>
        </w:rPr>
        <w:t>一是口径变化，因</w:t>
      </w:r>
      <w:r>
        <w:rPr>
          <w:rFonts w:hint="eastAsia" w:asciiTheme="minorEastAsia" w:hAnsiTheme="minorEastAsia" w:cstheme="minorEastAsia"/>
          <w:b w:val="0"/>
          <w:bCs w:val="0"/>
          <w:kern w:val="2"/>
          <w:sz w:val="32"/>
          <w:szCs w:val="32"/>
          <w:lang w:val="en-US" w:eastAsia="zh-CN" w:bidi="ar"/>
        </w:rPr>
        <w:t>人大代表联络中心单独预算减少40万元。</w:t>
      </w:r>
      <w:r>
        <w:rPr>
          <w:rFonts w:hint="eastAsia" w:asciiTheme="minorEastAsia" w:hAnsiTheme="minorEastAsia" w:eastAsiaTheme="minorEastAsia" w:cstheme="minorEastAsia"/>
          <w:b w:val="0"/>
          <w:bCs w:val="0"/>
          <w:kern w:val="2"/>
          <w:sz w:val="32"/>
          <w:szCs w:val="32"/>
          <w:lang w:val="en-US" w:eastAsia="zh-CN" w:bidi="ar"/>
        </w:rPr>
        <w:t>二是</w:t>
      </w:r>
      <w:r>
        <w:rPr>
          <w:rFonts w:hint="eastAsia" w:asciiTheme="minorEastAsia" w:hAnsiTheme="minorEastAsia" w:cstheme="minorEastAsia"/>
          <w:b w:val="0"/>
          <w:bCs w:val="0"/>
          <w:kern w:val="2"/>
          <w:sz w:val="32"/>
          <w:szCs w:val="32"/>
          <w:lang w:val="en-US" w:eastAsia="zh-CN" w:bidi="ar"/>
        </w:rPr>
        <w:t>人大会议减少25万，2022年无换届选举支出</w:t>
      </w:r>
      <w:r>
        <w:rPr>
          <w:rFonts w:hint="eastAsia" w:asciiTheme="minorEastAsia" w:hAnsiTheme="minorEastAsia" w:eastAsiaTheme="minorEastAsia" w:cstheme="minorEastAsia"/>
          <w:b w:val="0"/>
          <w:bCs w:val="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二、“三公”经费增减变动原因说明</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2022年一般公共预算安排的“三公”经费预算</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万元，比2021年减少(增加)</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。其中:因公出国(境)费用</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万元，比上年减少(增加)</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万元;公务接待费</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万元，比上年减少(增加)</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万元，公务用车运行维护费</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万元，比上年减少(增加)</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万元;公务用车购置费</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元，比上年减少(增加)</w:t>
      </w:r>
      <w:r>
        <w:rPr>
          <w:rFonts w:hint="eastAsia" w:asciiTheme="minorEastAsia" w:hAnsiTheme="minorEastAsia" w:cstheme="minorEastAsia"/>
          <w:b w:val="0"/>
          <w:bCs w:val="0"/>
          <w:kern w:val="2"/>
          <w:sz w:val="32"/>
          <w:szCs w:val="32"/>
          <w:lang w:val="en-US" w:eastAsia="zh-CN" w:bidi="ar"/>
        </w:rPr>
        <w:t>0</w:t>
      </w:r>
      <w:r>
        <w:rPr>
          <w:rFonts w:hint="eastAsia" w:asciiTheme="minorEastAsia" w:hAnsiTheme="minorEastAsia" w:eastAsiaTheme="minorEastAsia" w:cstheme="minorEastAsia"/>
          <w:b w:val="0"/>
          <w:bCs w:val="0"/>
          <w:kern w:val="2"/>
          <w:sz w:val="32"/>
          <w:szCs w:val="32"/>
          <w:lang w:val="en-US" w:eastAsia="zh-CN" w:bidi="ar"/>
        </w:rPr>
        <w:t>万元。</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本部门无“三公”经费。</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三、机关运行经费增减变动原因说明</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cstheme="minorEastAsia"/>
          <w:b w:val="0"/>
          <w:bCs w:val="0"/>
          <w:kern w:val="2"/>
          <w:sz w:val="32"/>
          <w:szCs w:val="32"/>
          <w:lang w:val="en-US" w:eastAsia="zh-CN" w:bidi="ar"/>
        </w:rPr>
        <w:t>人大办</w:t>
      </w:r>
      <w:r>
        <w:rPr>
          <w:rFonts w:hint="eastAsia" w:asciiTheme="minorEastAsia" w:hAnsiTheme="minorEastAsia" w:eastAsiaTheme="minorEastAsia" w:cstheme="minorEastAsia"/>
          <w:b w:val="0"/>
          <w:bCs w:val="0"/>
          <w:kern w:val="2"/>
          <w:sz w:val="32"/>
          <w:szCs w:val="32"/>
          <w:lang w:val="en-US" w:eastAsia="zh-CN" w:bidi="ar"/>
        </w:rPr>
        <w:t>2022年机关运行经费财政拨款预算</w:t>
      </w:r>
      <w:r>
        <w:rPr>
          <w:rFonts w:hint="eastAsia" w:asciiTheme="minorEastAsia" w:hAnsiTheme="minorEastAsia" w:cstheme="minorEastAsia"/>
          <w:b w:val="0"/>
          <w:bCs w:val="0"/>
          <w:kern w:val="2"/>
          <w:sz w:val="32"/>
          <w:szCs w:val="32"/>
          <w:lang w:val="en-US" w:eastAsia="zh-CN" w:bidi="ar"/>
        </w:rPr>
        <w:t>27.15</w:t>
      </w:r>
      <w:r>
        <w:rPr>
          <w:rFonts w:hint="eastAsia" w:asciiTheme="minorEastAsia" w:hAnsiTheme="minorEastAsia" w:eastAsiaTheme="minorEastAsia" w:cstheme="minorEastAsia"/>
          <w:b w:val="0"/>
          <w:bCs w:val="0"/>
          <w:kern w:val="2"/>
          <w:sz w:val="32"/>
          <w:szCs w:val="32"/>
          <w:lang w:val="en-US" w:eastAsia="zh-CN" w:bidi="ar"/>
        </w:rPr>
        <w:t>万元，比2021年预算减少</w:t>
      </w:r>
      <w:r>
        <w:rPr>
          <w:rFonts w:hint="eastAsia" w:asciiTheme="minorEastAsia" w:hAnsiTheme="minorEastAsia" w:cstheme="minorEastAsia"/>
          <w:b w:val="0"/>
          <w:bCs w:val="0"/>
          <w:kern w:val="2"/>
          <w:sz w:val="32"/>
          <w:szCs w:val="32"/>
          <w:lang w:val="en-US" w:eastAsia="zh-CN" w:bidi="ar"/>
        </w:rPr>
        <w:t>11.12</w:t>
      </w:r>
      <w:r>
        <w:rPr>
          <w:rFonts w:hint="eastAsia" w:asciiTheme="minorEastAsia" w:hAnsiTheme="minorEastAsia" w:eastAsiaTheme="minorEastAsia" w:cstheme="minorEastAsia"/>
          <w:b w:val="0"/>
          <w:bCs w:val="0"/>
          <w:kern w:val="2"/>
          <w:sz w:val="32"/>
          <w:szCs w:val="32"/>
          <w:lang w:val="en-US" w:eastAsia="zh-CN" w:bidi="ar"/>
        </w:rPr>
        <w:t>万元，下降(增长)</w:t>
      </w:r>
      <w:r>
        <w:rPr>
          <w:rFonts w:hint="eastAsia" w:asciiTheme="minorEastAsia" w:hAnsiTheme="minorEastAsia" w:cstheme="minorEastAsia"/>
          <w:b w:val="0"/>
          <w:bCs w:val="0"/>
          <w:kern w:val="2"/>
          <w:sz w:val="32"/>
          <w:szCs w:val="32"/>
          <w:lang w:val="en-US" w:eastAsia="zh-CN" w:bidi="ar"/>
        </w:rPr>
        <w:t>40.95</w:t>
      </w:r>
      <w:r>
        <w:rPr>
          <w:rFonts w:hint="eastAsia" w:asciiTheme="minorEastAsia" w:hAnsiTheme="minorEastAsia" w:eastAsiaTheme="minorEastAsia" w:cstheme="minorEastAsia"/>
          <w:b w:val="0"/>
          <w:bCs w:val="0"/>
          <w:kern w:val="2"/>
          <w:sz w:val="32"/>
          <w:szCs w:val="32"/>
          <w:lang w:val="en-US" w:eastAsia="zh-CN" w:bidi="ar"/>
        </w:rPr>
        <w:t>%,增加主要是</w:t>
      </w:r>
      <w:r>
        <w:rPr>
          <w:rFonts w:hint="eastAsia" w:asciiTheme="minorEastAsia" w:hAnsiTheme="minorEastAsia" w:cstheme="minorEastAsia"/>
          <w:b w:val="0"/>
          <w:bCs w:val="0"/>
          <w:kern w:val="2"/>
          <w:sz w:val="32"/>
          <w:szCs w:val="32"/>
          <w:lang w:val="en-US" w:eastAsia="zh-CN" w:bidi="ar"/>
        </w:rPr>
        <w:t>人员减少，缩减支出</w:t>
      </w:r>
      <w:r>
        <w:rPr>
          <w:rFonts w:hint="eastAsia" w:asciiTheme="minorEastAsia" w:hAnsiTheme="minorEastAsia" w:eastAsiaTheme="minorEastAsia" w:cstheme="minorEastAsia"/>
          <w:b w:val="0"/>
          <w:bCs w:val="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四、政府采购情况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2022年本部门没有政府采购情况。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五、绩效管理情况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1、绩效管理情况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2022年</w:t>
      </w:r>
      <w:r>
        <w:rPr>
          <w:rFonts w:hint="eastAsia" w:asciiTheme="minorEastAsia" w:hAnsiTheme="minorEastAsia" w:cstheme="minorEastAsia"/>
          <w:b w:val="0"/>
          <w:bCs w:val="0"/>
          <w:kern w:val="2"/>
          <w:sz w:val="32"/>
          <w:szCs w:val="32"/>
          <w:lang w:val="en-US" w:eastAsia="zh-CN" w:bidi="ar"/>
        </w:rPr>
        <w:t>人大办</w:t>
      </w:r>
      <w:r>
        <w:rPr>
          <w:rFonts w:hint="eastAsia" w:asciiTheme="minorEastAsia" w:hAnsiTheme="minorEastAsia" w:eastAsiaTheme="minorEastAsia" w:cstheme="minorEastAsia"/>
          <w:b w:val="0"/>
          <w:bCs w:val="0"/>
          <w:kern w:val="2"/>
          <w:sz w:val="32"/>
          <w:szCs w:val="32"/>
          <w:lang w:val="en-US" w:eastAsia="zh-CN" w:bidi="ar"/>
        </w:rPr>
        <w:t>实行绩效目标管理的项目</w:t>
      </w:r>
      <w:r>
        <w:rPr>
          <w:rFonts w:hint="eastAsia" w:asciiTheme="minorEastAsia" w:hAnsiTheme="minorEastAsia" w:cstheme="minorEastAsia"/>
          <w:b w:val="0"/>
          <w:bCs w:val="0"/>
          <w:kern w:val="2"/>
          <w:sz w:val="32"/>
          <w:szCs w:val="32"/>
          <w:lang w:val="en-US" w:eastAsia="zh-CN" w:bidi="ar"/>
        </w:rPr>
        <w:t>5</w:t>
      </w:r>
      <w:r>
        <w:rPr>
          <w:rFonts w:hint="eastAsia" w:asciiTheme="minorEastAsia" w:hAnsiTheme="minorEastAsia" w:eastAsiaTheme="minorEastAsia" w:cstheme="minorEastAsia"/>
          <w:b w:val="0"/>
          <w:bCs w:val="0"/>
          <w:kern w:val="2"/>
          <w:sz w:val="32"/>
          <w:szCs w:val="32"/>
          <w:lang w:val="en-US" w:eastAsia="zh-CN" w:bidi="ar"/>
        </w:rPr>
        <w:t>个，涉及一般公共预算当年拨款</w:t>
      </w:r>
      <w:r>
        <w:rPr>
          <w:rFonts w:hint="eastAsia" w:asciiTheme="minorEastAsia" w:hAnsiTheme="minorEastAsia" w:cstheme="minorEastAsia"/>
          <w:b w:val="0"/>
          <w:bCs w:val="0"/>
          <w:kern w:val="2"/>
          <w:sz w:val="32"/>
          <w:szCs w:val="32"/>
          <w:lang w:val="en-US" w:eastAsia="zh-CN" w:bidi="ar"/>
        </w:rPr>
        <w:t>139.23</w:t>
      </w:r>
      <w:r>
        <w:rPr>
          <w:rFonts w:hint="eastAsia" w:asciiTheme="minorEastAsia" w:hAnsiTheme="minorEastAsia" w:eastAsiaTheme="minorEastAsia" w:cstheme="minorEastAsia"/>
          <w:b w:val="0"/>
          <w:bCs w:val="0"/>
          <w:kern w:val="2"/>
          <w:sz w:val="32"/>
          <w:szCs w:val="32"/>
          <w:lang w:val="en-US" w:eastAsia="zh-CN" w:bidi="ar"/>
        </w:rPr>
        <w:t>万元。</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2、绩效目标情况(鼓励附表说明)</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六、国有资产占有使用情况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1、车辆情况;</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default"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cstheme="minorEastAsia"/>
          <w:b w:val="0"/>
          <w:bCs w:val="0"/>
          <w:kern w:val="2"/>
          <w:sz w:val="32"/>
          <w:szCs w:val="32"/>
          <w:lang w:val="en-US" w:eastAsia="zh-CN" w:bidi="ar"/>
        </w:rPr>
        <w:t>本单位无车辆</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房屋情况;</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60" w:lineRule="auto"/>
        <w:ind w:leftChars="0" w:right="0" w:rightChars="0" w:firstLine="640" w:firstLineChars="200"/>
        <w:jc w:val="both"/>
        <w:textAlignment w:val="auto"/>
        <w:rPr>
          <w:rFonts w:hint="default"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cstheme="minorEastAsia"/>
          <w:b w:val="0"/>
          <w:bCs w:val="0"/>
          <w:kern w:val="2"/>
          <w:sz w:val="32"/>
          <w:szCs w:val="32"/>
          <w:lang w:val="en-US" w:eastAsia="zh-CN" w:bidi="ar"/>
        </w:rPr>
        <w:t xml:space="preserve"> 本单位无房屋</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其他国有资产占有使用情况。</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60" w:lineRule="auto"/>
        <w:ind w:leftChars="0" w:right="0" w:rightChars="0" w:firstLine="640" w:firstLineChars="200"/>
        <w:jc w:val="both"/>
        <w:textAlignment w:val="auto"/>
        <w:rPr>
          <w:rFonts w:hint="default"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cstheme="minorEastAsia"/>
          <w:b w:val="0"/>
          <w:bCs w:val="0"/>
          <w:kern w:val="2"/>
          <w:sz w:val="32"/>
          <w:szCs w:val="32"/>
          <w:lang w:val="en-US" w:eastAsia="zh-CN" w:bidi="ar"/>
        </w:rPr>
        <w:t>无</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kern w:val="2"/>
          <w:sz w:val="32"/>
          <w:szCs w:val="32"/>
          <w:lang w:val="en-US" w:eastAsia="zh-CN" w:bidi="ar"/>
        </w:rPr>
      </w:pPr>
      <w:r>
        <w:rPr>
          <w:rFonts w:hint="eastAsia" w:asciiTheme="minorEastAsia" w:hAnsiTheme="minorEastAsia" w:eastAsiaTheme="minorEastAsia" w:cstheme="minorEastAsia"/>
          <w:b w:val="0"/>
          <w:bCs w:val="0"/>
          <w:kern w:val="2"/>
          <w:sz w:val="32"/>
          <w:szCs w:val="32"/>
          <w:lang w:val="en-US" w:eastAsia="zh-CN" w:bidi="ar"/>
        </w:rPr>
        <w:t>七、其他说明</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(一)政府购买服务指导性目录</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(二)其他</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第四部分 名词解释</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一、基本支出:指为保障机构正常运转、完成日常工作任务而发生的人员支出和公用支出。</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二、项目支出:指在基本支出之外为完成特定行政任务和事业发展目标所发生的支出。</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三、“三公”经费:指各部门使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四、机关运行经费:指行政单位和参照公务员法管理的事业单位使用一般公共预算财政拨款安排的基本支出中的公用经费支出。</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Theme="minorEastAsia" w:hAnsiTheme="minorEastAsia" w:eastAsiaTheme="minorEastAsia" w:cstheme="minorEastAsia"/>
          <w:b w:val="0"/>
          <w:bCs w:val="0"/>
          <w:sz w:val="32"/>
          <w:szCs w:val="32"/>
          <w:lang w:val="en-US"/>
        </w:rPr>
      </w:pPr>
      <w:r>
        <w:rPr>
          <w:rFonts w:hint="eastAsia" w:asciiTheme="minorEastAsia" w:hAnsiTheme="minorEastAsia" w:eastAsiaTheme="minorEastAsia" w:cstheme="minorEastAsia"/>
          <w:b w:val="0"/>
          <w:bCs w:val="0"/>
          <w:kern w:val="2"/>
          <w:sz w:val="32"/>
          <w:szCs w:val="32"/>
          <w:lang w:val="en-US" w:eastAsia="zh-CN" w:bidi="ar"/>
        </w:rPr>
        <w:t>五、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b w:val="0"/>
          <w:bCs w:val="0"/>
          <w:kern w:val="2"/>
          <w:sz w:val="32"/>
          <w:szCs w:val="32"/>
          <w:lang w:val="en-US" w:eastAsia="zh-CN" w:bidi="ar"/>
        </w:rPr>
        <w:t>六、一般公共预算:是指以税收为主体的财政收入，安排用于保障和改善民</w:t>
      </w:r>
      <w:r>
        <w:rPr>
          <w:rFonts w:hint="eastAsia" w:ascii="宋体" w:hAnsi="宋体" w:eastAsia="宋体" w:cs="宋体"/>
          <w:kern w:val="2"/>
          <w:sz w:val="32"/>
          <w:szCs w:val="32"/>
          <w:lang w:val="en-US" w:eastAsia="zh-CN" w:bidi="ar"/>
        </w:rPr>
        <w:t>生、推动经济社会发展、维护国家安全、维持国家机构正常运转等方面的收支预算。</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3" w:firstLineChars="200"/>
        <w:jc w:val="both"/>
        <w:textAlignment w:val="auto"/>
        <w:rPr>
          <w:rFonts w:hint="eastAsia" w:ascii="宋体" w:hAnsi="宋体" w:eastAsia="宋体" w:cs="宋体"/>
          <w:sz w:val="32"/>
          <w:szCs w:val="32"/>
          <w:lang w:val="en-US"/>
        </w:rPr>
      </w:pPr>
      <w:r>
        <w:rPr>
          <w:rFonts w:hint="eastAsia" w:ascii="宋体" w:hAnsi="宋体" w:eastAsia="宋体" w:cs="宋体"/>
          <w:b/>
          <w:bCs/>
          <w:kern w:val="2"/>
          <w:sz w:val="32"/>
          <w:szCs w:val="32"/>
          <w:lang w:val="en-US" w:eastAsia="zh-CN" w:bidi="ar"/>
        </w:rPr>
        <w:t>七、政府性基金预算:</w:t>
      </w:r>
      <w:r>
        <w:rPr>
          <w:rFonts w:hint="eastAsia" w:ascii="宋体" w:hAnsi="宋体" w:eastAsia="宋体" w:cs="宋体"/>
          <w:kern w:val="2"/>
          <w:sz w:val="32"/>
          <w:szCs w:val="32"/>
          <w:lang w:val="en-US" w:eastAsia="zh-CN" w:bidi="ar"/>
        </w:rPr>
        <w:t>是对依照法律、行政法规的规定在一定期限内向特定对象征收、收取或者以其他方式筹集的资金，专项用于特定公共事业发展的收支预算。</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3" w:firstLineChars="200"/>
        <w:jc w:val="both"/>
        <w:textAlignment w:val="auto"/>
        <w:rPr>
          <w:rFonts w:hint="eastAsia" w:ascii="宋体" w:hAnsi="宋体" w:eastAsia="宋体" w:cs="宋体"/>
          <w:sz w:val="32"/>
          <w:szCs w:val="32"/>
          <w:lang w:val="en-US"/>
        </w:rPr>
      </w:pPr>
      <w:r>
        <w:rPr>
          <w:rFonts w:hint="eastAsia" w:ascii="宋体" w:hAnsi="宋体" w:eastAsia="宋体" w:cs="宋体"/>
          <w:b/>
          <w:bCs/>
          <w:kern w:val="2"/>
          <w:sz w:val="32"/>
          <w:szCs w:val="32"/>
          <w:lang w:val="en-US" w:eastAsia="zh-CN" w:bidi="ar"/>
        </w:rPr>
        <w:t>八、国有资本经营预算:</w:t>
      </w:r>
      <w:r>
        <w:rPr>
          <w:rFonts w:hint="eastAsia" w:ascii="宋体" w:hAnsi="宋体" w:eastAsia="宋体" w:cs="宋体"/>
          <w:kern w:val="2"/>
          <w:sz w:val="32"/>
          <w:szCs w:val="32"/>
          <w:lang w:val="en-US" w:eastAsia="zh-CN" w:bidi="ar"/>
        </w:rPr>
        <w:t>是对国有资本收益作出支出安排的收支预算。</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3" w:firstLineChars="200"/>
        <w:jc w:val="both"/>
        <w:textAlignment w:val="auto"/>
        <w:rPr>
          <w:rFonts w:hint="eastAsia" w:ascii="宋体" w:hAnsi="宋体" w:eastAsia="宋体" w:cs="宋体"/>
          <w:sz w:val="32"/>
          <w:szCs w:val="32"/>
          <w:lang w:val="en-US"/>
        </w:rPr>
      </w:pPr>
      <w:r>
        <w:rPr>
          <w:rFonts w:hint="eastAsia" w:ascii="宋体" w:hAnsi="宋体" w:eastAsia="宋体" w:cs="宋体"/>
          <w:b/>
          <w:bCs/>
          <w:kern w:val="2"/>
          <w:sz w:val="32"/>
          <w:szCs w:val="32"/>
          <w:lang w:val="en-US" w:eastAsia="zh-CN" w:bidi="ar"/>
        </w:rPr>
        <w:t>九、财政专户管理资金:</w:t>
      </w:r>
      <w:r>
        <w:rPr>
          <w:rFonts w:hint="eastAsia" w:ascii="宋体" w:hAnsi="宋体" w:eastAsia="宋体" w:cs="宋体"/>
          <w:kern w:val="2"/>
          <w:sz w:val="32"/>
          <w:szCs w:val="32"/>
          <w:lang w:val="en-US" w:eastAsia="zh-CN" w:bidi="ar"/>
        </w:rPr>
        <w:t>专指教育收费，包括目前在财政专户管理的高中以上学费、住宿费，高校委托培养费，党校收费，教育考试考务费，函大、电大、夜大及短训班培训费等。</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uto"/>
        <w:ind w:left="0" w:leftChars="0" w:right="0" w:firstLine="643" w:firstLineChars="200"/>
        <w:jc w:val="both"/>
        <w:textAlignment w:val="auto"/>
        <w:rPr>
          <w:rFonts w:hint="eastAsia" w:ascii="宋体" w:hAnsi="宋体" w:eastAsia="宋体" w:cs="宋体"/>
          <w:sz w:val="32"/>
          <w:szCs w:val="32"/>
          <w:lang w:val="en-US"/>
        </w:rPr>
      </w:pPr>
      <w:r>
        <w:rPr>
          <w:rFonts w:hint="eastAsia" w:ascii="宋体" w:hAnsi="宋体" w:eastAsia="宋体" w:cs="宋体"/>
          <w:b/>
          <w:bCs/>
          <w:kern w:val="2"/>
          <w:sz w:val="32"/>
          <w:szCs w:val="32"/>
          <w:lang w:val="en-US" w:eastAsia="zh-CN" w:bidi="ar"/>
        </w:rPr>
        <w:t>十、单位资金:</w:t>
      </w:r>
      <w:r>
        <w:rPr>
          <w:rFonts w:hint="eastAsia" w:ascii="宋体" w:hAnsi="宋体" w:eastAsia="宋体" w:cs="宋体"/>
          <w:kern w:val="2"/>
          <w:sz w:val="32"/>
          <w:szCs w:val="32"/>
          <w:lang w:val="en-US" w:eastAsia="zh-CN" w:bidi="ar"/>
        </w:rPr>
        <w:t>是指除政府预算资金和财政专户管理资金以外的资金，包括事业收入、事业单位经营收入、上级补助收入、附属单位上缴收入、其他收入。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Chars="0" w:firstLine="420" w:firstLineChars="200"/>
        <w:jc w:val="both"/>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Chars="0" w:firstLine="420" w:firstLineChars="200"/>
        <w:jc w:val="both"/>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Chars="0" w:firstLine="420" w:firstLineChars="200"/>
        <w:jc w:val="both"/>
        <w:textAlignment w:val="auto"/>
        <w:rPr>
          <w:rFonts w:hint="eastAsia" w:ascii="宋体" w:hAnsi="宋体" w:eastAsia="宋体" w:cs="宋体"/>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85F410"/>
    <w:multiLevelType w:val="multilevel"/>
    <w:tmpl w:val="CF85F410"/>
    <w:lvl w:ilvl="0" w:tentative="0">
      <w:start w:val="1"/>
      <w:numFmt w:val="chineseCounting"/>
      <w:suff w:val="space"/>
      <w:lvlText w:val="第%1部分"/>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D4C45DAB"/>
    <w:multiLevelType w:val="singleLevel"/>
    <w:tmpl w:val="D4C45DAB"/>
    <w:lvl w:ilvl="0" w:tentative="0">
      <w:start w:val="2"/>
      <w:numFmt w:val="decimal"/>
      <w:suff w:val="nothing"/>
      <w:lvlText w:val="%1、"/>
      <w:lvlJc w:val="left"/>
    </w:lvl>
  </w:abstractNum>
  <w:abstractNum w:abstractNumId="2">
    <w:nsid w:val="12D9B884"/>
    <w:multiLevelType w:val="multilevel"/>
    <w:tmpl w:val="12D9B884"/>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1EDF334D"/>
    <w:multiLevelType w:val="multilevel"/>
    <w:tmpl w:val="1EDF334D"/>
    <w:lvl w:ilvl="0" w:tentative="0">
      <w:start w:val="1"/>
      <w:numFmt w:val="chineseCounting"/>
      <w:suff w:val="nothing"/>
      <w:lvlText w:val="%1、"/>
      <w:lvlJc w:val="left"/>
      <w:pPr>
        <w:ind w:left="32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4">
    <w:nsid w:val="249AC106"/>
    <w:multiLevelType w:val="multilevel"/>
    <w:tmpl w:val="249AC106"/>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7A60F2D9"/>
    <w:multiLevelType w:val="multilevel"/>
    <w:tmpl w:val="7A60F2D9"/>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451D3376"/>
    <w:rsid w:val="0F572868"/>
    <w:rsid w:val="13453B2F"/>
    <w:rsid w:val="1481490C"/>
    <w:rsid w:val="1F78690B"/>
    <w:rsid w:val="24447738"/>
    <w:rsid w:val="25E35426"/>
    <w:rsid w:val="2E3C1B78"/>
    <w:rsid w:val="318A2BFA"/>
    <w:rsid w:val="334F40FB"/>
    <w:rsid w:val="35902624"/>
    <w:rsid w:val="394574A6"/>
    <w:rsid w:val="451D3376"/>
    <w:rsid w:val="481979C1"/>
    <w:rsid w:val="4E466A55"/>
    <w:rsid w:val="4ED86EE6"/>
    <w:rsid w:val="56FA5260"/>
    <w:rsid w:val="57735007"/>
    <w:rsid w:val="5A014D41"/>
    <w:rsid w:val="5C3A6A67"/>
    <w:rsid w:val="5CF74D38"/>
    <w:rsid w:val="5E2179E7"/>
    <w:rsid w:val="5E224037"/>
    <w:rsid w:val="5F5C7FA4"/>
    <w:rsid w:val="67C6310D"/>
    <w:rsid w:val="72D20C05"/>
    <w:rsid w:val="7C952D57"/>
    <w:rsid w:val="7D0C03BB"/>
    <w:rsid w:val="7F1B0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脚 Char"/>
    <w:basedOn w:val="5"/>
    <w:link w:val="2"/>
    <w:qFormat/>
    <w:uiPriority w:val="0"/>
    <w:rPr>
      <w:rFonts w:hint="default" w:ascii="Calibri" w:hAnsi="Calibri" w:eastAsia="宋体" w:cs="Times New Roman"/>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2830</Words>
  <Characters>2997</Characters>
  <Lines>0</Lines>
  <Paragraphs>0</Paragraphs>
  <TotalTime>19</TotalTime>
  <ScaleCrop>false</ScaleCrop>
  <LinksUpToDate>false</LinksUpToDate>
  <CharactersWithSpaces>3034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2023-04-04T07:22:00Z</dcterms:created>
  <dc:creator>Administrator</dc:creator>
  <cp:lastModifiedBy>Administrator</cp:lastModifiedBy>
  <dcterms:modified xsi:type="dcterms:W3CDTF">2022-02-24T08:06:25Z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0E9DC198CAFA4AAFAE2D0BFC4563889F</vt:lpwstr>
  </property>
</Properties>
</file>