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313" w:afterLines="100" w:line="600" w:lineRule="exact"/>
        <w:textAlignment w:val="auto"/>
        <w:rPr>
          <w:rFonts w:hint="eastAsia" w:ascii="方正黑体简体" w:hAnsi="方正黑体简体" w:eastAsia="方正黑体简体" w:cs="方正黑体简体"/>
          <w:sz w:val="28"/>
          <w:szCs w:val="28"/>
          <w:lang w:val="en-US" w:eastAsia="zh-CN"/>
        </w:rPr>
      </w:pPr>
      <w:r>
        <w:rPr>
          <w:rFonts w:hint="eastAsia" w:ascii="方正黑体简体" w:hAnsi="方正黑体简体" w:eastAsia="方正黑体简体" w:cs="方正黑体简体"/>
          <w:sz w:val="28"/>
          <w:szCs w:val="28"/>
          <w:lang w:eastAsia="zh-CN"/>
        </w:rPr>
        <w:t>附件</w:t>
      </w:r>
      <w:r>
        <w:rPr>
          <w:rFonts w:hint="eastAsia" w:ascii="方正黑体简体" w:hAnsi="方正黑体简体" w:eastAsia="方正黑体简体" w:cs="方正黑体简体"/>
          <w:sz w:val="28"/>
          <w:szCs w:val="28"/>
          <w:lang w:val="en-US" w:eastAsia="zh-CN"/>
        </w:rPr>
        <w:t>1</w:t>
      </w:r>
      <w:bookmarkStart w:id="0" w:name="_GoBack"/>
      <w:bookmarkEnd w:id="0"/>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长治市潞城区科技局2022年度</w:t>
      </w:r>
    </w:p>
    <w:p>
      <w:pPr>
        <w:keepNext w:val="0"/>
        <w:keepLines w:val="0"/>
        <w:pageBreakBefore w:val="0"/>
        <w:widowControl w:val="0"/>
        <w:kinsoku/>
        <w:wordWrap/>
        <w:overflowPunct/>
        <w:topLinePunct w:val="0"/>
        <w:autoSpaceDE/>
        <w:autoSpaceDN/>
        <w:bidi w:val="0"/>
        <w:adjustRightInd/>
        <w:snapToGrid/>
        <w:spacing w:line="700" w:lineRule="exact"/>
        <w:ind w:firstLine="0" w:firstLineChars="0"/>
        <w:jc w:val="center"/>
        <w:textAlignment w:val="auto"/>
        <w:rPr>
          <w:rFonts w:hint="eastAsia" w:ascii="方正大标宋简体" w:hAnsi="方正大标宋简体" w:eastAsia="方正大标宋简体" w:cs="方正大标宋简体"/>
          <w:sz w:val="44"/>
          <w:szCs w:val="44"/>
          <w:lang w:val="en-US" w:eastAsia="zh-CN"/>
        </w:rPr>
      </w:pPr>
      <w:r>
        <w:rPr>
          <w:rFonts w:hint="eastAsia" w:ascii="方正大标宋简体" w:hAnsi="方正大标宋简体" w:eastAsia="方正大标宋简体" w:cs="方正大标宋简体"/>
          <w:sz w:val="44"/>
          <w:szCs w:val="44"/>
          <w:lang w:val="en-US" w:eastAsia="zh-CN"/>
        </w:rPr>
        <w:t>单位预算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0" w:firstLineChars="0"/>
        <w:jc w:val="center"/>
        <w:textAlignment w:val="auto"/>
        <w:rPr>
          <w:rFonts w:hint="eastAsia" w:ascii="方正黑体简体" w:hAnsi="方正黑体简体" w:eastAsia="方正黑体简体" w:cs="方正黑体简体"/>
          <w:sz w:val="36"/>
          <w:szCs w:val="36"/>
          <w:lang w:val="en-US" w:eastAsia="zh-CN"/>
        </w:rPr>
      </w:pPr>
      <w:r>
        <w:rPr>
          <w:rFonts w:hint="eastAsia" w:ascii="方正黑体简体" w:hAnsi="方正黑体简体" w:eastAsia="方正黑体简体" w:cs="方正黑体简体"/>
          <w:sz w:val="36"/>
          <w:szCs w:val="36"/>
          <w:lang w:val="en-US" w:eastAsia="zh-CN"/>
        </w:rPr>
        <w:t>目   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第一部分  概况</w:t>
      </w:r>
      <w:r>
        <w:rPr>
          <w:rFonts w:hint="eastAsia" w:ascii="方正仿宋简体" w:hAnsi="方正仿宋简体" w:eastAsia="方正仿宋简体" w:cs="方正仿宋简体"/>
          <w:sz w:val="32"/>
          <w:szCs w:val="32"/>
          <w:lang w:val="en-US" w:eastAsia="zh-CN"/>
        </w:rPr>
        <w:t>…………………………………………………3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本单位职责……………………………………3</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机构设置情况……………………………………………3</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第二部分  2022年单位预算报表</w:t>
      </w:r>
      <w:r>
        <w:rPr>
          <w:rFonts w:hint="eastAsia" w:ascii="方正仿宋简体" w:hAnsi="方正仿宋简体" w:eastAsia="方正仿宋简体" w:cs="方正仿宋简体"/>
          <w:sz w:val="32"/>
          <w:szCs w:val="32"/>
          <w:lang w:val="en-US" w:eastAsia="zh-CN"/>
        </w:rPr>
        <w:t>……………………4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一、科技局2022年预算收支总表…………………………4</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二、科技局2022年预算收入总表…………………………5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三、科技局2022年预算支出总表………………………5</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firstLine="320" w:firstLineChars="10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四、科技局2022年财政拨款收支总表……………………6</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五、科技局2022年一般公共预算支出预算表……………7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六、科技局2022年一般公共预算安排基本支出分经济科目表…………………………………………………………………7</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七、科技局2022年政府性基金预算收入预算表…………8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八、科技局2022年政府性基金预算支出预算表…………8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九、科技局2022年国有资本经营预算收支预算表………8</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十、科技局2022年“三公”经费支出预算表……………9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十一、科技局2022年机关运行经费预算财政拨款情况表…………………………………………………………………9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w:t>
      </w:r>
      <w:r>
        <w:rPr>
          <w:rFonts w:hint="eastAsia" w:ascii="方正黑体简体" w:hAnsi="方正黑体简体" w:eastAsia="方正黑体简体" w:cs="方正黑体简体"/>
          <w:sz w:val="32"/>
          <w:szCs w:val="32"/>
          <w:lang w:val="en-US" w:eastAsia="zh-CN"/>
        </w:rPr>
        <w:t>第三部分  2022年单位预算情况说明</w:t>
      </w:r>
      <w:r>
        <w:rPr>
          <w:rFonts w:hint="eastAsia" w:ascii="方正仿宋简体" w:hAnsi="方正仿宋简体" w:eastAsia="方正仿宋简体" w:cs="方正仿宋简体"/>
          <w:sz w:val="32"/>
          <w:szCs w:val="32"/>
          <w:lang w:val="en-US" w:eastAsia="zh-CN"/>
        </w:rPr>
        <w:t>………………9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 xml:space="preserve">  一、2022年度单位预算数据变动情况及原因………………9</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二、“三公”经费增减变动原因说明…………………………10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机关运行经费增减变动原因说明………………………10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政府采购情况……………………………………………10</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绩效管理情况……………………………………………11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国有资产占有使用情况…………………………………11</w:t>
      </w:r>
    </w:p>
    <w:p>
      <w:pPr>
        <w:keepNext w:val="0"/>
        <w:keepLines w:val="0"/>
        <w:pageBreakBefore w:val="0"/>
        <w:widowControl w:val="0"/>
        <w:numPr>
          <w:ilvl w:val="0"/>
          <w:numId w:val="1"/>
        </w:numPr>
        <w:kinsoku/>
        <w:wordWrap/>
        <w:overflowPunct/>
        <w:topLinePunct w:val="0"/>
        <w:autoSpaceDE/>
        <w:autoSpaceDN/>
        <w:bidi w:val="0"/>
        <w:adjustRightInd/>
        <w:snapToGrid/>
        <w:spacing w:line="640" w:lineRule="exact"/>
        <w:ind w:left="320" w:leftChars="0" w:firstLine="0" w:firstLine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其他说明…………………………………………………11</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政府购买服务指导性目录……………………………11</w:t>
      </w:r>
    </w:p>
    <w:p>
      <w:pPr>
        <w:keepNext w:val="0"/>
        <w:keepLines w:val="0"/>
        <w:pageBreakBefore w:val="0"/>
        <w:widowControl w:val="0"/>
        <w:numPr>
          <w:ilvl w:val="0"/>
          <w:numId w:val="2"/>
        </w:numPr>
        <w:kinsoku/>
        <w:wordWrap/>
        <w:overflowPunct/>
        <w:topLinePunct w:val="0"/>
        <w:autoSpaceDE/>
        <w:autoSpaceDN/>
        <w:bidi w:val="0"/>
        <w:adjustRightInd/>
        <w:snapToGrid/>
        <w:spacing w:line="640" w:lineRule="exact"/>
        <w:ind w:left="320"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其他……………………………………………………11</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0"/>
        <w:jc w:val="distribute"/>
        <w:textAlignment w:val="auto"/>
        <w:rPr>
          <w:rFonts w:hint="default" w:ascii="方正仿宋简体" w:hAnsi="方正仿宋简体" w:eastAsia="方正仿宋简体" w:cs="方正仿宋简体"/>
          <w:sz w:val="32"/>
          <w:szCs w:val="32"/>
          <w:lang w:val="en-US" w:eastAsia="zh-CN"/>
        </w:rPr>
      </w:pPr>
      <w:r>
        <w:rPr>
          <w:rFonts w:hint="eastAsia" w:ascii="方正黑体简体" w:hAnsi="方正黑体简体" w:eastAsia="方正黑体简体" w:cs="方正黑体简体"/>
          <w:sz w:val="32"/>
          <w:szCs w:val="32"/>
          <w:lang w:val="en-US" w:eastAsia="zh-CN"/>
        </w:rPr>
        <w:t>第四部分 名词解释</w:t>
      </w:r>
      <w:r>
        <w:rPr>
          <w:rFonts w:hint="eastAsia" w:ascii="方正仿宋简体" w:hAnsi="方正仿宋简体" w:eastAsia="方正仿宋简体" w:cs="方正仿宋简体"/>
          <w:sz w:val="32"/>
          <w:szCs w:val="32"/>
          <w:lang w:val="en-US" w:eastAsia="zh-CN"/>
        </w:rPr>
        <w:t>……………………………………………12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 xml:space="preserve"> 概况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rPr>
          <w:rFonts w:hint="eastAsia" w:ascii="方正黑体简体" w:hAnsi="方正黑体简体" w:eastAsia="方正黑体简体" w:cs="方正黑体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一、本部门（单位）职责</w:t>
      </w: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潞城区科学技术局，为科技建制行政单位，负责组织制定全市科技发展中长期规划和年度计划；编制和实施科技攻关、星火、火炬、成果推广、新产品试制、软科技研究等各项工作。</w:t>
      </w:r>
    </w:p>
    <w:p>
      <w:pPr>
        <w:keepNext w:val="0"/>
        <w:keepLines w:val="0"/>
        <w:pageBreakBefore w:val="0"/>
        <w:widowControl w:val="0"/>
        <w:numPr>
          <w:ilvl w:val="0"/>
          <w:numId w:val="4"/>
        </w:numPr>
        <w:kinsoku/>
        <w:wordWrap/>
        <w:overflowPunct/>
        <w:topLinePunct w:val="0"/>
        <w:autoSpaceDE/>
        <w:autoSpaceDN/>
        <w:bidi w:val="0"/>
        <w:adjustRightInd/>
        <w:snapToGrid/>
        <w:spacing w:after="313" w:afterLines="100" w:line="600" w:lineRule="exact"/>
        <w:ind w:left="0" w:leftChars="0"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单位内设6个股室，分别是办公室、产业科技股、农业科技股、计划科技股、编制人事股、党组办。</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0"/>
        <w:jc w:val="center"/>
        <w:textAlignment w:val="auto"/>
        <w:rPr>
          <w:rFonts w:hint="eastAsia" w:ascii="方正宋黑简体" w:hAnsi="方正宋黑简体" w:eastAsia="方正宋黑简体" w:cs="方正宋黑简体"/>
          <w:sz w:val="32"/>
          <w:szCs w:val="32"/>
          <w:lang w:val="en-US" w:eastAsia="zh-CN"/>
        </w:rPr>
      </w:pPr>
      <w:r>
        <w:rPr>
          <w:rFonts w:hint="eastAsia" w:ascii="方正宋黑简体" w:hAnsi="方正宋黑简体" w:eastAsia="方正宋黑简体" w:cs="方正宋黑简体"/>
          <w:sz w:val="32"/>
          <w:szCs w:val="32"/>
          <w:lang w:val="en-US" w:eastAsia="zh-CN"/>
        </w:rPr>
        <w:t>第二部分2022年度部门（单位）预算报表</w:t>
      </w: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430" w:leftChars="0" w:firstLine="640" w:firstLineChars="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科技局2022年预算收支总表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0288" behindDoc="0" locked="0" layoutInCell="1" allowOverlap="1">
            <wp:simplePos x="0" y="0"/>
            <wp:positionH relativeFrom="column">
              <wp:posOffset>-123825</wp:posOffset>
            </wp:positionH>
            <wp:positionV relativeFrom="paragraph">
              <wp:posOffset>-5222240</wp:posOffset>
            </wp:positionV>
            <wp:extent cx="5705475" cy="7605395"/>
            <wp:effectExtent l="0" t="0" r="9525" b="14605"/>
            <wp:wrapTopAndBottom/>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705475" cy="7605395"/>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430" w:leftChars="0" w:firstLine="640" w:firstLineChars="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1312" behindDoc="0" locked="0" layoutInCell="1" allowOverlap="1">
            <wp:simplePos x="0" y="0"/>
            <wp:positionH relativeFrom="column">
              <wp:posOffset>-133350</wp:posOffset>
            </wp:positionH>
            <wp:positionV relativeFrom="paragraph">
              <wp:posOffset>845185</wp:posOffset>
            </wp:positionV>
            <wp:extent cx="5537200" cy="2785110"/>
            <wp:effectExtent l="0" t="0" r="6350" b="15240"/>
            <wp:wrapTopAndBottom/>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6"/>
                    <a:stretch>
                      <a:fillRect/>
                    </a:stretch>
                  </pic:blipFill>
                  <pic:spPr>
                    <a:xfrm>
                      <a:off x="0" y="0"/>
                      <a:ext cx="5537200" cy="278511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科技局2022年预算收入总表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430" w:leftChars="0" w:firstLine="640" w:firstLineChars="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2336" behindDoc="0" locked="0" layoutInCell="1" allowOverlap="1">
            <wp:simplePos x="0" y="0"/>
            <wp:positionH relativeFrom="column">
              <wp:posOffset>85725</wp:posOffset>
            </wp:positionH>
            <wp:positionV relativeFrom="paragraph">
              <wp:posOffset>913765</wp:posOffset>
            </wp:positionV>
            <wp:extent cx="5309870" cy="3458210"/>
            <wp:effectExtent l="0" t="0" r="5080" b="8890"/>
            <wp:wrapTopAndBottom/>
            <wp:docPr id="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7"/>
                    <a:stretch>
                      <a:fillRect/>
                    </a:stretch>
                  </pic:blipFill>
                  <pic:spPr>
                    <a:xfrm>
                      <a:off x="0" y="0"/>
                      <a:ext cx="5309870" cy="345821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科技局2022年预算支出总表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430" w:leftChars="0" w:firstLine="640" w:firstLineChars="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3360" behindDoc="0" locked="0" layoutInCell="1" allowOverlap="1">
            <wp:simplePos x="0" y="0"/>
            <wp:positionH relativeFrom="column">
              <wp:posOffset>-57150</wp:posOffset>
            </wp:positionH>
            <wp:positionV relativeFrom="paragraph">
              <wp:posOffset>778510</wp:posOffset>
            </wp:positionV>
            <wp:extent cx="5539740" cy="4838700"/>
            <wp:effectExtent l="0" t="0" r="3810" b="0"/>
            <wp:wrapTopAndBottom/>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8"/>
                    <a:stretch>
                      <a:fillRect/>
                    </a:stretch>
                  </pic:blipFill>
                  <pic:spPr>
                    <a:xfrm>
                      <a:off x="0" y="0"/>
                      <a:ext cx="5539740" cy="483870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科技局2022年财政拨款收支总表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default"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210" w:leftChars="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五、科技局2022年一般公共预算支出预算表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4384" behindDoc="0" locked="0" layoutInCell="1" allowOverlap="1">
            <wp:simplePos x="0" y="0"/>
            <wp:positionH relativeFrom="column">
              <wp:posOffset>-142875</wp:posOffset>
            </wp:positionH>
            <wp:positionV relativeFrom="paragraph">
              <wp:posOffset>35560</wp:posOffset>
            </wp:positionV>
            <wp:extent cx="5539740" cy="4526280"/>
            <wp:effectExtent l="0" t="0" r="3810" b="7620"/>
            <wp:wrapTopAndBottom/>
            <wp:docPr id="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pic:cNvPicPr>
                      <a:picLocks noChangeAspect="1"/>
                    </pic:cNvPicPr>
                  </pic:nvPicPr>
                  <pic:blipFill>
                    <a:blip r:embed="rId9"/>
                    <a:stretch>
                      <a:fillRect/>
                    </a:stretch>
                  </pic:blipFill>
                  <pic:spPr>
                    <a:xfrm>
                      <a:off x="0" y="0"/>
                      <a:ext cx="5539740" cy="4526280"/>
                    </a:xfrm>
                    <a:prstGeom prst="rect">
                      <a:avLst/>
                    </a:prstGeom>
                    <a:noFill/>
                    <a:ln>
                      <a:noFill/>
                    </a:ln>
                  </pic:spPr>
                </pic:pic>
              </a:graphicData>
            </a:graphic>
          </wp:anchor>
        </w:drawing>
      </w:r>
      <w:r>
        <w:rPr>
          <w:rFonts w:hint="eastAsia" w:ascii="方正仿宋简体" w:hAnsi="方正仿宋简体" w:eastAsia="方正仿宋简体" w:cs="方正仿宋简体"/>
          <w:sz w:val="32"/>
          <w:szCs w:val="32"/>
          <w:lang w:val="en-US" w:eastAsia="zh-CN"/>
        </w:rPr>
        <w:t>六、科技局2022年一般公共预算安排基本支出分经济科目表</w:t>
      </w:r>
    </w:p>
    <w:tbl>
      <w:tblPr>
        <w:tblStyle w:val="4"/>
        <w:tblpPr w:leftFromText="180" w:rightFromText="180" w:vertAnchor="text" w:horzAnchor="page" w:tblpX="1766" w:tblpY="309"/>
        <w:tblOverlap w:val="never"/>
        <w:tblW w:w="850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07"/>
        <w:gridCol w:w="1969"/>
        <w:gridCol w:w="2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8505"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一般公共预算安排基本支出分经济科目表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07"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1969"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2129" w:type="dxa"/>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经济科目名称</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预算数</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b/>
                <w:bCs/>
                <w:i w:val="0"/>
                <w:iCs w:val="0"/>
                <w:color w:val="000000"/>
                <w:sz w:val="20"/>
                <w:szCs w:val="20"/>
                <w:u w:val="none"/>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59.441833</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501</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53.431833</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[50101]工资奖金津补贴</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39.875900</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[50102]社会保障缴费</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8.775145</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[50103]住房公积金</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4.780788</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502</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5.950000</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[50201]办公经费</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5.950000</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509</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0.060000</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40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[50901]社会福利和救助</w:t>
            </w:r>
          </w:p>
        </w:tc>
        <w:tc>
          <w:tcPr>
            <w:tcW w:w="19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0.060000</w:t>
            </w:r>
          </w:p>
        </w:tc>
        <w:tc>
          <w:tcPr>
            <w:tcW w:w="212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七、科技局2022年政府性基金预算收入预算表</w:t>
      </w:r>
    </w:p>
    <w:tbl>
      <w:tblPr>
        <w:tblStyle w:val="4"/>
        <w:tblW w:w="86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69"/>
        <w:gridCol w:w="2169"/>
        <w:gridCol w:w="434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685"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2022年政府性基金预算收入表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政府性基金收入预算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bottom"/>
          </w:tcPr>
          <w:p>
            <w:pPr>
              <w:rPr>
                <w:rFonts w:hint="eastAsia"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c>
          <w:tcPr>
            <w:tcW w:w="0" w:type="auto"/>
            <w:tcBorders>
              <w:top w:val="nil"/>
              <w:left w:val="nil"/>
              <w:bottom w:val="nil"/>
              <w:right w:val="nil"/>
            </w:tcBorders>
            <w:shd w:val="clear" w:color="auto" w:fill="auto"/>
            <w:noWrap/>
            <w:vAlign w:val="bottom"/>
          </w:tcPr>
          <w:p>
            <w:pPr>
              <w:rPr>
                <w:rFonts w:hint="default" w:ascii="Calibri" w:hAnsi="Calibri" w:cs="Calibri"/>
                <w:i w:val="0"/>
                <w:iCs w:val="0"/>
                <w:color w:val="000000"/>
                <w:sz w:val="22"/>
                <w:szCs w:val="22"/>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八、××科技局2022年政府性基金预算支出预算表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tbl>
      <w:tblPr>
        <w:tblStyle w:val="4"/>
        <w:tblW w:w="8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204"/>
        <w:gridCol w:w="2204"/>
        <w:gridCol w:w="43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8" w:hRule="atLeast"/>
        </w:trPr>
        <w:tc>
          <w:tcPr>
            <w:tcW w:w="8780"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2022年政府性基金预算支出表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政府性基金支出预算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科目编码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科目名称</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bl>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b/>
          <w:bCs/>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九、科技局2022年国有资本经营预算收支预算表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420" w:firstLineChars="20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5408" behindDoc="0" locked="0" layoutInCell="1" allowOverlap="1">
            <wp:simplePos x="0" y="0"/>
            <wp:positionH relativeFrom="column">
              <wp:posOffset>76200</wp:posOffset>
            </wp:positionH>
            <wp:positionV relativeFrom="paragraph">
              <wp:posOffset>333375</wp:posOffset>
            </wp:positionV>
            <wp:extent cx="5541010" cy="982980"/>
            <wp:effectExtent l="0" t="0" r="2540" b="7620"/>
            <wp:wrapTopAndBottom/>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10"/>
                    <a:stretch>
                      <a:fillRect/>
                    </a:stretch>
                  </pic:blipFill>
                  <pic:spPr>
                    <a:xfrm>
                      <a:off x="0" y="0"/>
                      <a:ext cx="5541010" cy="98298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numPr>
          <w:ilvl w:val="0"/>
          <w:numId w:val="6"/>
        </w:numPr>
        <w:kinsoku/>
        <w:wordWrap/>
        <w:overflowPunct/>
        <w:topLinePunct w:val="0"/>
        <w:autoSpaceDE/>
        <w:autoSpaceDN/>
        <w:bidi w:val="0"/>
        <w:adjustRightInd/>
        <w:snapToGrid/>
        <w:spacing w:line="600" w:lineRule="exact"/>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科技局2022年“三公”经费支出预算表</w:t>
      </w:r>
    </w:p>
    <w:tbl>
      <w:tblPr>
        <w:tblStyle w:val="4"/>
        <w:tblW w:w="783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04"/>
        <w:gridCol w:w="30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7830" w:type="dxa"/>
            <w:gridSpan w:val="2"/>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2022年一般公共预算“三公”经费支出情况统计表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因公出国（境）费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公务用车购置及运行费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①公务用车购置费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 ②公务用车运行维护费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right"/>
              <w:rPr>
                <w:rFonts w:hint="eastAsia" w:ascii="宋体" w:hAnsi="宋体" w:eastAsia="宋体" w:cs="宋体"/>
                <w:i w:val="0"/>
                <w:iCs w:val="0"/>
                <w:color w:val="000000"/>
                <w:sz w:val="22"/>
                <w:szCs w:val="22"/>
                <w:u w:val="none"/>
              </w:rPr>
            </w:pPr>
          </w:p>
        </w:tc>
      </w:tr>
    </w:tbl>
    <w:p>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0" w:leftChars="0" w:firstLine="0" w:firstLineChars="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科技局2022年机关运行经费预算财政拨款情况表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r>
        <w:drawing>
          <wp:anchor distT="0" distB="0" distL="114300" distR="114300" simplePos="0" relativeHeight="251666432" behindDoc="0" locked="0" layoutInCell="1" allowOverlap="1">
            <wp:simplePos x="0" y="0"/>
            <wp:positionH relativeFrom="column">
              <wp:posOffset>-19050</wp:posOffset>
            </wp:positionH>
            <wp:positionV relativeFrom="paragraph">
              <wp:posOffset>304165</wp:posOffset>
            </wp:positionV>
            <wp:extent cx="5541010" cy="995680"/>
            <wp:effectExtent l="0" t="0" r="2540" b="13970"/>
            <wp:wrapTopAndBottom/>
            <wp:docPr id="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pic:cNvPicPr>
                      <a:picLocks noChangeAspect="1"/>
                    </pic:cNvPicPr>
                  </pic:nvPicPr>
                  <pic:blipFill>
                    <a:blip r:embed="rId11"/>
                    <a:stretch>
                      <a:fillRect/>
                    </a:stretch>
                  </pic:blipFill>
                  <pic:spPr>
                    <a:xfrm>
                      <a:off x="0" y="0"/>
                      <a:ext cx="5541010" cy="995680"/>
                    </a:xfrm>
                    <a:prstGeom prst="rect">
                      <a:avLst/>
                    </a:prstGeom>
                    <a:noFill/>
                    <a:ln>
                      <a:noFill/>
                    </a:ln>
                  </pic:spPr>
                </pic:pic>
              </a:graphicData>
            </a:graphic>
          </wp:anchor>
        </w:drawing>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center"/>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第三部分   2022年度部门(单位)预算情况说明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textAlignment w:val="auto"/>
        <w:rPr>
          <w:rFonts w:hint="eastAsia" w:ascii="方正仿宋简体" w:hAnsi="方正仿宋简体" w:eastAsia="方正仿宋简体" w:cs="方正仿宋简体"/>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一、2022年度部门预算数据变动情况及原因</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default"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2022年预算汇总数为373.621833万元，去年预算汇总数为 343.63万元，比去年增加29.991833万元，主要因为2022年预算中增加了科研项目经费25万元，工资和社保的增长合计1.111833万元。另外有自收自支事业人员职业年金集体部分3.88万元。</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 xml:space="preserve">2022年一般公共服务预算373.621833万元，比去年增加29.991833万元。其中，（1）工资福利支出53.431833万元，比上年减少3.43%，原因为总人数减少1人；（2）商品和服务支出5.95万元，比去年减少0.9万元，原因为比去年减少了2名扶贫工作队员的工作经费0.6万元以及有1人到龄退休减少了公用经费；（3）对个人和家庭补助支出  0.06万元，为全年独生子女费；（4）各类项目总支出  314.18万元。其中，其它科学技术支出科技奖励285万元，为企业奖励资金；一般行政管理事务科目下为25万元，包括： 差旅费3万、印刷费8万、邮电费2.7万、办公费11万、水费0.3万。另外有支自收自支人员职业年金集体部分3.88万元以及驻村工作队下乡补助0.6万元。 </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“三公”经费增减变动原因说明</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本部门无“三公”经费。</w:t>
      </w:r>
    </w:p>
    <w:p>
      <w:pPr>
        <w:keepNext w:val="0"/>
        <w:keepLines w:val="0"/>
        <w:pageBreakBefore w:val="0"/>
        <w:widowControl w:val="0"/>
        <w:numPr>
          <w:ilvl w:val="0"/>
          <w:numId w:val="7"/>
        </w:numPr>
        <w:kinsoku/>
        <w:wordWrap/>
        <w:overflowPunct/>
        <w:topLinePunct w:val="0"/>
        <w:autoSpaceDE/>
        <w:autoSpaceDN/>
        <w:bidi w:val="0"/>
        <w:adjustRightInd/>
        <w:snapToGrid/>
        <w:spacing w:after="313" w:afterLines="100" w:line="600" w:lineRule="exact"/>
        <w:ind w:left="0" w:leftChars="0" w:firstLine="640" w:firstLineChars="200"/>
        <w:textAlignment w:val="auto"/>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机关运行经费增减变动</w:t>
      </w:r>
      <w:r>
        <w:rPr>
          <w:rFonts w:hint="eastAsia" w:ascii="方正黑体简体" w:hAnsi="方正黑体简体" w:eastAsia="方正黑体简体" w:cs="方正黑体简体"/>
          <w:sz w:val="32"/>
          <w:szCs w:val="32"/>
        </w:rPr>
        <w:t>原因说明</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200" w:firstLine="640" w:firstLineChars="200"/>
        <w:textAlignment w:val="auto"/>
        <w:rPr>
          <w:rFonts w:hint="eastAsia" w:ascii="方正仿宋简体" w:hAnsi="方正仿宋简体" w:eastAsia="方正仿宋简体" w:cs="方正仿宋简体"/>
          <w:sz w:val="32"/>
          <w:szCs w:val="32"/>
        </w:rPr>
      </w:pPr>
      <w:r>
        <w:rPr>
          <w:rFonts w:hint="eastAsia" w:ascii="方正黑体简体" w:hAnsi="方正黑体简体" w:eastAsia="方正黑体简体" w:cs="方正黑体简体"/>
          <w:sz w:val="32"/>
          <w:szCs w:val="32"/>
          <w:lang w:val="en-US" w:eastAsia="zh-CN"/>
        </w:rPr>
        <w:t>我局机关运行经费共 5.95 万元，具体明细安排如下：工会经费 0.45万元，办公费 1.3 万元，其他交通费用4.2万元。</w:t>
      </w:r>
      <w:r>
        <w:rPr>
          <w:rFonts w:hint="eastAsia" w:ascii="方正仿宋简体" w:hAnsi="方正仿宋简体" w:eastAsia="方正仿宋简体" w:cs="方正仿宋简体"/>
          <w:sz w:val="32"/>
          <w:szCs w:val="32"/>
        </w:rPr>
        <w:t xml:space="preserve">比2021年预算减少 </w:t>
      </w:r>
      <w:r>
        <w:rPr>
          <w:rFonts w:hint="eastAsia" w:ascii="方正仿宋简体" w:hAnsi="方正仿宋简体" w:eastAsia="方正仿宋简体" w:cs="方正仿宋简体"/>
          <w:sz w:val="32"/>
          <w:szCs w:val="32"/>
          <w:lang w:val="en-US" w:eastAsia="zh-CN"/>
        </w:rPr>
        <w:t>0.9</w:t>
      </w:r>
      <w:r>
        <w:rPr>
          <w:rFonts w:hint="eastAsia" w:ascii="方正仿宋简体" w:hAnsi="方正仿宋简体" w:eastAsia="方正仿宋简体" w:cs="方正仿宋简体"/>
          <w:sz w:val="32"/>
          <w:szCs w:val="32"/>
        </w:rPr>
        <w:t>万元，下降</w:t>
      </w:r>
      <w:r>
        <w:rPr>
          <w:rFonts w:hint="eastAsia" w:ascii="方正仿宋简体" w:hAnsi="方正仿宋简体" w:eastAsia="方正仿宋简体" w:cs="方正仿宋简体"/>
          <w:sz w:val="32"/>
          <w:szCs w:val="32"/>
          <w:lang w:val="en-US" w:eastAsia="zh-CN"/>
        </w:rPr>
        <w:t>13</w:t>
      </w:r>
      <w:r>
        <w:rPr>
          <w:rFonts w:hint="eastAsia" w:ascii="方正仿宋简体" w:hAnsi="方正仿宋简体" w:eastAsia="方正仿宋简体" w:cs="方正仿宋简体"/>
          <w:sz w:val="32"/>
          <w:szCs w:val="32"/>
        </w:rPr>
        <w:t>%,主要是</w:t>
      </w:r>
      <w:r>
        <w:rPr>
          <w:rFonts w:hint="eastAsia" w:ascii="方正仿宋简体" w:hAnsi="方正仿宋简体" w:eastAsia="方正仿宋简体" w:cs="方正仿宋简体"/>
          <w:sz w:val="32"/>
          <w:szCs w:val="32"/>
          <w:lang w:eastAsia="zh-CN"/>
        </w:rPr>
        <w:t>减少了扶贫工作队工作的经费</w:t>
      </w:r>
      <w:r>
        <w:rPr>
          <w:rFonts w:hint="eastAsia" w:ascii="方正仿宋简体" w:hAnsi="方正仿宋简体" w:eastAsia="方正仿宋简体" w:cs="方正仿宋简体"/>
          <w:sz w:val="32"/>
          <w:szCs w:val="32"/>
        </w:rPr>
        <w:t>。</w:t>
      </w:r>
    </w:p>
    <w:p>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0" w:leftChars="0"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政府采购情况</w:t>
      </w:r>
    </w:p>
    <w:p>
      <w:pPr>
        <w:keepNext w:val="0"/>
        <w:keepLines w:val="0"/>
        <w:pageBreakBefore w:val="0"/>
        <w:widowControl w:val="0"/>
        <w:numPr>
          <w:ilvl w:val="0"/>
          <w:numId w:val="0"/>
        </w:numPr>
        <w:kinsoku/>
        <w:wordWrap/>
        <w:overflowPunct/>
        <w:topLinePunct w:val="0"/>
        <w:autoSpaceDE/>
        <w:autoSpaceDN/>
        <w:bidi w:val="0"/>
        <w:adjustRightInd/>
        <w:snapToGrid/>
        <w:spacing w:after="313" w:afterLines="100" w:line="600" w:lineRule="exact"/>
        <w:ind w:leftChars="200" w:firstLine="640" w:firstLineChars="200"/>
        <w:textAlignment w:val="auto"/>
        <w:rPr>
          <w:rFonts w:hint="default"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rPr>
        <w:t>我局涉及政府采购的预算内支出共</w:t>
      </w:r>
      <w:r>
        <w:rPr>
          <w:rFonts w:hint="eastAsia" w:ascii="方正仿宋简体" w:hAnsi="方正仿宋简体" w:eastAsia="方正仿宋简体" w:cs="方正仿宋简体"/>
          <w:sz w:val="32"/>
          <w:szCs w:val="32"/>
          <w:lang w:val="en-US" w:eastAsia="zh-CN"/>
        </w:rPr>
        <w:t>8</w:t>
      </w:r>
      <w:r>
        <w:rPr>
          <w:rFonts w:hint="eastAsia" w:ascii="方正仿宋简体" w:hAnsi="方正仿宋简体" w:eastAsia="方正仿宋简体" w:cs="方正仿宋简体"/>
          <w:sz w:val="32"/>
          <w:szCs w:val="32"/>
        </w:rPr>
        <w:t>万元。</w:t>
      </w:r>
      <w:r>
        <w:rPr>
          <w:rFonts w:hint="eastAsia" w:ascii="方正仿宋简体" w:hAnsi="方正仿宋简体" w:eastAsia="方正仿宋简体" w:cs="方正仿宋简体"/>
          <w:sz w:val="32"/>
          <w:szCs w:val="32"/>
          <w:lang w:val="en-US" w:eastAsia="zh-CN"/>
        </w:rPr>
        <w:t>印刷印制项目8万元。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五、绩效管理情况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1、绩效管理情况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方正仿宋简体" w:hAnsi="方正仿宋简体" w:eastAsia="方正仿宋简体" w:cs="方正仿宋简体"/>
          <w:sz w:val="32"/>
          <w:szCs w:val="32"/>
          <w:lang w:val="en-US" w:eastAsia="zh-CN"/>
        </w:rPr>
      </w:pPr>
      <w:r>
        <w:rPr>
          <w:rFonts w:hint="eastAsia" w:ascii="方正仿宋简体" w:hAnsi="方正仿宋简体" w:eastAsia="方正仿宋简体" w:cs="方正仿宋简体"/>
          <w:sz w:val="32"/>
          <w:szCs w:val="32"/>
          <w:lang w:val="en-US" w:eastAsia="zh-CN"/>
        </w:rPr>
        <w:t>2022年科技局实行绩效目标管理的项目2个，涉及一般公共预算当年拨款310万元。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2、绩效目标情况(鼓励附表说明)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rPr>
      </w:pPr>
      <w:r>
        <w:rPr>
          <w:rFonts w:hint="eastAsia" w:ascii="方正黑体简体" w:hAnsi="方正黑体简体" w:eastAsia="方正黑体简体" w:cs="方正黑体简体"/>
          <w:sz w:val="32"/>
          <w:szCs w:val="32"/>
        </w:rPr>
        <w:t>六、国有资产占有使用情况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1、车辆情况;</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2、房屋情况;</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3、其他国有资产占有使用情况。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黑体简体" w:hAnsi="方正黑体简体" w:eastAsia="方正黑体简体" w:cs="方正黑体简体"/>
          <w:sz w:val="32"/>
          <w:szCs w:val="32"/>
          <w:lang w:eastAsia="zh-CN"/>
        </w:rPr>
      </w:pPr>
      <w:r>
        <w:rPr>
          <w:rFonts w:hint="eastAsia" w:ascii="方正黑体简体" w:hAnsi="方正黑体简体" w:eastAsia="方正黑体简体" w:cs="方正黑体简体"/>
          <w:sz w:val="32"/>
          <w:szCs w:val="32"/>
        </w:rPr>
        <w:t>七、其他说明(参考模板，各单位可根据本单位实际情况进行修改和完善)</w:t>
      </w:r>
      <w:r>
        <w:rPr>
          <w:rFonts w:hint="eastAsia" w:ascii="方正黑体简体" w:hAnsi="方正黑体简体" w:eastAsia="方正黑体简体" w:cs="方正黑体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(一)政府购买服务指导性目录</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lang w:eastAsia="zh-CN"/>
        </w:rPr>
      </w:pPr>
      <w:r>
        <w:rPr>
          <w:rFonts w:hint="eastAsia" w:ascii="方正仿宋简体" w:hAnsi="方正仿宋简体" w:eastAsia="方正仿宋简体" w:cs="方正仿宋简体"/>
          <w:sz w:val="32"/>
          <w:szCs w:val="32"/>
        </w:rPr>
        <w:t>(二)其他</w:t>
      </w:r>
      <w:r>
        <w:rPr>
          <w:rFonts w:hint="eastAsia" w:ascii="方正仿宋简体" w:hAnsi="方正仿宋简体" w:eastAsia="方正仿宋简体" w:cs="方正仿宋简体"/>
          <w:sz w:val="32"/>
          <w:szCs w:val="32"/>
          <w:lang w:eastAsia="zh-CN"/>
        </w:rPr>
        <w:t>无</w:t>
      </w:r>
    </w:p>
    <w:p>
      <w:pPr>
        <w:keepNext w:val="0"/>
        <w:keepLines w:val="0"/>
        <w:pageBreakBefore w:val="0"/>
        <w:widowControl w:val="0"/>
        <w:kinsoku/>
        <w:wordWrap/>
        <w:overflowPunct/>
        <w:topLinePunct w:val="0"/>
        <w:autoSpaceDE/>
        <w:autoSpaceDN/>
        <w:bidi w:val="0"/>
        <w:adjustRightInd/>
        <w:snapToGrid/>
        <w:spacing w:after="313" w:afterLines="100" w:line="600" w:lineRule="exact"/>
        <w:ind w:firstLine="0" w:firstLineChars="0"/>
        <w:jc w:val="center"/>
        <w:textAlignment w:val="auto"/>
        <w:rPr>
          <w:rFonts w:hint="eastAsia" w:ascii="方正宋黑简体" w:hAnsi="方正宋黑简体" w:eastAsia="方正宋黑简体" w:cs="方正宋黑简体"/>
          <w:sz w:val="32"/>
          <w:szCs w:val="32"/>
        </w:rPr>
      </w:pPr>
      <w:r>
        <w:rPr>
          <w:rFonts w:hint="eastAsia" w:ascii="方正宋黑简体" w:hAnsi="方正宋黑简体" w:eastAsia="方正宋黑简体" w:cs="方正宋黑简体"/>
          <w:sz w:val="32"/>
          <w:szCs w:val="32"/>
        </w:rPr>
        <w:t>第四部分 名词解释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【说明:本项为必须公开内容，可解释本部门预算特有的较为专业的名词，或是财政预算编制方面名词(以下名词解释仅供参考，各部门可以根据实际情况自行增加)】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一、基本支出:</w:t>
      </w:r>
      <w:r>
        <w:rPr>
          <w:rFonts w:hint="eastAsia" w:ascii="方正仿宋简体" w:hAnsi="方正仿宋简体" w:eastAsia="方正仿宋简体" w:cs="方正仿宋简体"/>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二、项目支出:</w:t>
      </w:r>
      <w:r>
        <w:rPr>
          <w:rFonts w:hint="eastAsia" w:ascii="方正仿宋简体" w:hAnsi="方正仿宋简体" w:eastAsia="方正仿宋简体" w:cs="方正仿宋简体"/>
          <w:sz w:val="32"/>
          <w:szCs w:val="32"/>
        </w:rPr>
        <w:t>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三、“三公”经费:</w:t>
      </w:r>
      <w:r>
        <w:rPr>
          <w:rFonts w:hint="eastAsia" w:ascii="方正仿宋简体" w:hAnsi="方正仿宋简体" w:eastAsia="方正仿宋简体" w:cs="方正仿宋简体"/>
          <w:sz w:val="32"/>
          <w:szCs w:val="32"/>
        </w:rPr>
        <w:t>指</w:t>
      </w:r>
      <w:r>
        <w:rPr>
          <w:rFonts w:hint="eastAsia" w:ascii="方正仿宋简体" w:hAnsi="方正仿宋简体" w:eastAsia="方正仿宋简体" w:cs="方正仿宋简体"/>
          <w:sz w:val="32"/>
          <w:szCs w:val="32"/>
          <w:lang w:eastAsia="zh-CN"/>
        </w:rPr>
        <w:t>各</w:t>
      </w:r>
      <w:r>
        <w:rPr>
          <w:rFonts w:hint="eastAsia" w:ascii="方正仿宋简体" w:hAnsi="方正仿宋简体" w:eastAsia="方正仿宋简体" w:cs="方正仿宋简体"/>
          <w:sz w:val="32"/>
          <w:szCs w:val="32"/>
        </w:rPr>
        <w:t>部门</w:t>
      </w:r>
      <w:r>
        <w:rPr>
          <w:rFonts w:hint="eastAsia" w:ascii="方正仿宋简体" w:hAnsi="方正仿宋简体" w:eastAsia="方正仿宋简体" w:cs="方正仿宋简体"/>
          <w:sz w:val="32"/>
          <w:szCs w:val="32"/>
          <w:lang w:eastAsia="zh-CN"/>
        </w:rPr>
        <w:t>使</w:t>
      </w:r>
      <w:r>
        <w:rPr>
          <w:rFonts w:hint="eastAsia" w:ascii="方正仿宋简体" w:hAnsi="方正仿宋简体" w:eastAsia="方正仿宋简体" w:cs="方正仿宋简体"/>
          <w:sz w:val="32"/>
          <w:szCs w:val="32"/>
        </w:rPr>
        <w:t>用一般公共预算安排的因公出国(境)费用、公务用车购置及运行费和公务接待费。其中:因公出国(境)费用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机关和参公事业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四、机关运行经费:</w:t>
      </w:r>
      <w:r>
        <w:rPr>
          <w:rFonts w:hint="eastAsia" w:ascii="方正仿宋简体" w:hAnsi="方正仿宋简体" w:eastAsia="方正仿宋简体" w:cs="方正仿宋简体"/>
          <w:sz w:val="32"/>
          <w:szCs w:val="32"/>
        </w:rPr>
        <w:t>指行政单位和参照公务员法管理的事业单位使用一般公共预算财政拨款安排的基本支出中的公用经费支出。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五、政府购买服务:</w:t>
      </w:r>
      <w:r>
        <w:rPr>
          <w:rFonts w:hint="eastAsia" w:ascii="方正仿宋简体" w:hAnsi="方正仿宋简体" w:eastAsia="方正仿宋简体" w:cs="方正仿宋简体"/>
          <w:sz w:val="32"/>
          <w:szCs w:val="32"/>
        </w:rPr>
        <w:t>根据我国现行政策规定，政府购买服务，是指充分发挥市场机制作用，将国家机关属于自身职责范围且适合通过市场化方式提供的服务事项，按照政府采购方式和程序，交由符合条件的服务供应商承担，并根据服务数量和质量等情况向其支付费用的行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六、一般公共预算:</w:t>
      </w:r>
      <w:r>
        <w:rPr>
          <w:rFonts w:hint="eastAsia" w:ascii="方正仿宋简体" w:hAnsi="方正仿宋简体" w:eastAsia="方正仿宋简体" w:cs="方正仿宋简体"/>
          <w:sz w:val="32"/>
          <w:szCs w:val="32"/>
        </w:rPr>
        <w:t>是指以税收为主体的财政收入，安排用于保障和改善民生、推动经济社会发展、维护国家安全、维持国家机构正常运转等方面的收支预算。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七、政府性基金预算:</w:t>
      </w:r>
      <w:r>
        <w:rPr>
          <w:rFonts w:hint="eastAsia" w:ascii="方正仿宋简体" w:hAnsi="方正仿宋简体" w:eastAsia="方正仿宋简体" w:cs="方正仿宋简体"/>
          <w:sz w:val="32"/>
          <w:szCs w:val="32"/>
        </w:rPr>
        <w:t>是对依照法律、行政法规的规定在一定期限内向特定对象征收、收取或者以其他方式筹集的资金，专项用于特定公共事业发展的收支预算。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八、国有资本经营预算:</w:t>
      </w:r>
      <w:r>
        <w:rPr>
          <w:rFonts w:hint="eastAsia" w:ascii="方正仿宋简体" w:hAnsi="方正仿宋简体" w:eastAsia="方正仿宋简体" w:cs="方正仿宋简体"/>
          <w:sz w:val="32"/>
          <w:szCs w:val="32"/>
        </w:rPr>
        <w:t>是对国有资本收益作出支出安排的收支预算。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九、财政专户管理资金:</w:t>
      </w:r>
      <w:r>
        <w:rPr>
          <w:rFonts w:hint="eastAsia" w:ascii="方正仿宋简体" w:hAnsi="方正仿宋简体" w:eastAsia="方正仿宋简体" w:cs="方正仿宋简体"/>
          <w:sz w:val="32"/>
          <w:szCs w:val="32"/>
        </w:rPr>
        <w:t>专指教育收费，包括目前在财政专户管理的高中以上学费、住宿费，高校委托培养费，党校收费，教育考试考务费，函大、电大、夜大及短训班培训费等。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b/>
          <w:bCs/>
          <w:sz w:val="32"/>
          <w:szCs w:val="32"/>
        </w:rPr>
        <w:t>十、单位资金:</w:t>
      </w:r>
      <w:r>
        <w:rPr>
          <w:rFonts w:hint="eastAsia" w:ascii="方正仿宋简体" w:hAnsi="方正仿宋简体" w:eastAsia="方正仿宋简体" w:cs="方正仿宋简体"/>
          <w:sz w:val="32"/>
          <w:szCs w:val="32"/>
        </w:rPr>
        <w:t>是指除政府预算资金和财政专户管理资金以外的资金，包括事业收入、事业单位经营收入、上级补助收入、附属单位上缴收入、其他收入。</w:t>
      </w:r>
    </w:p>
    <w:sectPr>
      <w:footerReference r:id="rId3" w:type="default"/>
      <w:pgSz w:w="11906" w:h="16838"/>
      <w:pgMar w:top="1984" w:right="1587" w:bottom="1701"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2010601030101010101"/>
    <w:charset w:val="86"/>
    <w:family w:val="auto"/>
    <w:pitch w:val="default"/>
    <w:sig w:usb0="00000000" w:usb1="00000000" w:usb2="00000000" w:usb3="00000000" w:csb0="00040000" w:csb1="00000000"/>
  </w:font>
  <w:font w:name="方正大标宋简体">
    <w:altName w:val="微软雅黑"/>
    <w:panose1 w:val="02010601030101010101"/>
    <w:charset w:val="86"/>
    <w:family w:val="auto"/>
    <w:pitch w:val="default"/>
    <w:sig w:usb0="00000000" w:usb1="0000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方正宋黑简体">
    <w:altName w:val="宋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0F4210"/>
    <w:multiLevelType w:val="singleLevel"/>
    <w:tmpl w:val="8B0F4210"/>
    <w:lvl w:ilvl="0" w:tentative="0">
      <w:start w:val="1"/>
      <w:numFmt w:val="chineseCounting"/>
      <w:suff w:val="nothing"/>
      <w:lvlText w:val="%1、"/>
      <w:lvlJc w:val="left"/>
      <w:rPr>
        <w:rFonts w:hint="eastAsia"/>
      </w:rPr>
    </w:lvl>
  </w:abstractNum>
  <w:abstractNum w:abstractNumId="1">
    <w:nsid w:val="90F07AB0"/>
    <w:multiLevelType w:val="singleLevel"/>
    <w:tmpl w:val="90F07AB0"/>
    <w:lvl w:ilvl="0" w:tentative="0">
      <w:start w:val="1"/>
      <w:numFmt w:val="chineseCounting"/>
      <w:suff w:val="nothing"/>
      <w:lvlText w:val="（%1）"/>
      <w:lvlJc w:val="left"/>
      <w:rPr>
        <w:rFonts w:hint="eastAsia"/>
      </w:rPr>
    </w:lvl>
  </w:abstractNum>
  <w:abstractNum w:abstractNumId="2">
    <w:nsid w:val="926152DF"/>
    <w:multiLevelType w:val="singleLevel"/>
    <w:tmpl w:val="926152DF"/>
    <w:lvl w:ilvl="0" w:tentative="0">
      <w:start w:val="2"/>
      <w:numFmt w:val="chineseCounting"/>
      <w:suff w:val="nothing"/>
      <w:lvlText w:val="%1、"/>
      <w:lvlJc w:val="left"/>
      <w:rPr>
        <w:rFonts w:hint="eastAsia"/>
      </w:rPr>
    </w:lvl>
  </w:abstractNum>
  <w:abstractNum w:abstractNumId="3">
    <w:nsid w:val="9EE12D41"/>
    <w:multiLevelType w:val="singleLevel"/>
    <w:tmpl w:val="9EE12D41"/>
    <w:lvl w:ilvl="0" w:tentative="0">
      <w:start w:val="10"/>
      <w:numFmt w:val="chineseCounting"/>
      <w:suff w:val="nothing"/>
      <w:lvlText w:val="%1、"/>
      <w:lvlJc w:val="left"/>
      <w:rPr>
        <w:rFonts w:hint="eastAsia"/>
      </w:rPr>
    </w:lvl>
  </w:abstractNum>
  <w:abstractNum w:abstractNumId="4">
    <w:nsid w:val="E8621750"/>
    <w:multiLevelType w:val="singleLevel"/>
    <w:tmpl w:val="E8621750"/>
    <w:lvl w:ilvl="0" w:tentative="0">
      <w:start w:val="1"/>
      <w:numFmt w:val="chineseCounting"/>
      <w:suff w:val="space"/>
      <w:lvlText w:val="第%1部分"/>
      <w:lvlJc w:val="left"/>
      <w:rPr>
        <w:rFonts w:hint="eastAsia"/>
      </w:rPr>
    </w:lvl>
  </w:abstractNum>
  <w:abstractNum w:abstractNumId="5">
    <w:nsid w:val="1708C4FE"/>
    <w:multiLevelType w:val="singleLevel"/>
    <w:tmpl w:val="1708C4FE"/>
    <w:lvl w:ilvl="0" w:tentative="0">
      <w:start w:val="1"/>
      <w:numFmt w:val="chineseCounting"/>
      <w:suff w:val="nothing"/>
      <w:lvlText w:val="%1、"/>
      <w:lvlJc w:val="left"/>
      <w:pPr>
        <w:ind w:left="-430"/>
      </w:pPr>
      <w:rPr>
        <w:rFonts w:hint="eastAsia"/>
      </w:rPr>
    </w:lvl>
  </w:abstractNum>
  <w:abstractNum w:abstractNumId="6">
    <w:nsid w:val="2E8CF568"/>
    <w:multiLevelType w:val="singleLevel"/>
    <w:tmpl w:val="2E8CF568"/>
    <w:lvl w:ilvl="0" w:tentative="0">
      <w:start w:val="1"/>
      <w:numFmt w:val="chineseCounting"/>
      <w:suff w:val="nothing"/>
      <w:lvlText w:val="%1、"/>
      <w:lvlJc w:val="left"/>
      <w:pPr>
        <w:ind w:left="320" w:leftChars="0" w:firstLine="0" w:firstLineChars="0"/>
      </w:pPr>
      <w:rPr>
        <w:rFonts w:hint="eastAsia"/>
      </w:rPr>
    </w:lvl>
  </w:abstractNum>
  <w:num w:numId="1">
    <w:abstractNumId w:val="6"/>
  </w:num>
  <w:num w:numId="2">
    <w:abstractNumId w:val="1"/>
  </w:num>
  <w:num w:numId="3">
    <w:abstractNumId w:val="4"/>
  </w:num>
  <w:num w:numId="4">
    <w:abstractNumId w:val="0"/>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kMGY0ZDgyODgyOWI0YWYyM2JhZDMwZWRlNDU2Y2YifQ=="/>
  </w:docVars>
  <w:rsids>
    <w:rsidRoot w:val="0FDB0A9B"/>
    <w:rsid w:val="0FDB0A9B"/>
    <w:rsid w:val="10C61D50"/>
    <w:rsid w:val="117448C2"/>
    <w:rsid w:val="17FD312B"/>
    <w:rsid w:val="1941239E"/>
    <w:rsid w:val="255A5AFA"/>
    <w:rsid w:val="31CD069C"/>
    <w:rsid w:val="32FE2435"/>
    <w:rsid w:val="366A2FFA"/>
    <w:rsid w:val="421F022C"/>
    <w:rsid w:val="473122B1"/>
    <w:rsid w:val="47F80CA5"/>
    <w:rsid w:val="520D3007"/>
    <w:rsid w:val="5D412701"/>
    <w:rsid w:val="5D703EAE"/>
    <w:rsid w:val="5E8379C4"/>
    <w:rsid w:val="5F8513F4"/>
    <w:rsid w:val="63E458EA"/>
    <w:rsid w:val="6B0548C4"/>
    <w:rsid w:val="6B4E50FD"/>
    <w:rsid w:val="718C4D52"/>
    <w:rsid w:val="726F5A3B"/>
    <w:rsid w:val="733F0A9C"/>
    <w:rsid w:val="73CF5508"/>
    <w:rsid w:val="74D73899"/>
    <w:rsid w:val="78037C82"/>
    <w:rsid w:val="7A781E20"/>
    <w:rsid w:val="7E6E50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2866</Words>
  <Characters>3199</Characters>
  <Lines>0</Lines>
  <Paragraphs>0</Paragraphs>
  <TotalTime>69</TotalTime>
  <ScaleCrop>false</ScaleCrop>
  <LinksUpToDate>false</LinksUpToDate>
  <CharactersWithSpaces>3253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2022-02-25T02:30:00Z</dcterms:created>
  <dc:creator>Administrator</dc:creator>
  <cp:lastModifiedBy>Administrator</cp:lastModifiedBy>
  <cp:lastPrinted>2022-02-25T03:22:00Z</cp:lastPrinted>
  <dcterms:modified xsi:type="dcterms:W3CDTF">2022-02-24T07:57:14Z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F35376B1280D485E9B1BE8CB5DEF597F</vt:lpwstr>
  </property>
</Properties>
</file>