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line="600" w:lineRule="exact"/>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附件1</w:t>
      </w:r>
      <w:bookmarkStart w:id="0" w:name="_GoBack"/>
      <w:bookmarkEnd w:id="0"/>
    </w:p>
    <w:p>
      <w:pPr>
        <w:spacing w:line="70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长治市潞城区</w:t>
      </w:r>
      <w:r>
        <w:rPr>
          <w:rFonts w:hint="eastAsia" w:eastAsia="方正大标宋简体" w:cs="方正大标宋简体"/>
          <w:sz w:val="44"/>
          <w:szCs w:val="44"/>
        </w:rPr>
        <w:t>交通运输</w:t>
      </w:r>
      <w:r>
        <w:rPr>
          <w:rFonts w:hint="eastAsia" w:ascii="方正大标宋简体" w:hAnsi="方正大标宋简体" w:eastAsia="方正大标宋简体" w:cs="方正大标宋简体"/>
          <w:sz w:val="44"/>
          <w:szCs w:val="44"/>
        </w:rPr>
        <w:t>局2022年度</w:t>
      </w:r>
    </w:p>
    <w:p>
      <w:pPr>
        <w:spacing w:line="70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单位预算</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jc w:val="center"/>
        <w:rPr>
          <w:rFonts w:ascii="方正黑体简体" w:hAnsi="方正黑体简体" w:eastAsia="方正黑体简体" w:cs="方正黑体简体"/>
          <w:sz w:val="36"/>
          <w:szCs w:val="36"/>
        </w:rPr>
      </w:pPr>
      <w:r>
        <w:rPr>
          <w:rFonts w:hint="eastAsia" w:ascii="方正黑体简体" w:hAnsi="方正黑体简体" w:eastAsia="方正黑体简体" w:cs="方正黑体简体"/>
          <w:sz w:val="36"/>
          <w:szCs w:val="36"/>
        </w:rPr>
        <w:t>目   录</w:t>
      </w:r>
    </w:p>
    <w:p>
      <w:pPr>
        <w:spacing w:line="600" w:lineRule="exact"/>
        <w:ind w:firstLine="640" w:firstLineChars="200"/>
        <w:rPr>
          <w:rFonts w:ascii="方正黑体简体" w:hAnsi="方正黑体简体" w:eastAsia="方正黑体简体" w:cs="方正黑体简体"/>
          <w:sz w:val="32"/>
          <w:szCs w:val="32"/>
        </w:rPr>
      </w:pP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第一部分  概况</w:t>
      </w:r>
      <w:r>
        <w:rPr>
          <w:rFonts w:hint="eastAsia" w:ascii="方正仿宋简体" w:hAnsi="方正仿宋简体" w:eastAsia="方正仿宋简体" w:cs="方正仿宋简体"/>
          <w:sz w:val="32"/>
          <w:szCs w:val="32"/>
        </w:rPr>
        <w:t>…………………………………………………3</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单位职责……………………………………3</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机构设置情况……………………………………………3</w:t>
      </w: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第二部分  2022年部门（单位）预算报表</w:t>
      </w:r>
      <w:r>
        <w:rPr>
          <w:rFonts w:hint="eastAsia" w:ascii="方正仿宋简体" w:hAnsi="方正仿宋简体" w:eastAsia="方正仿宋简体" w:cs="方正仿宋简体"/>
          <w:sz w:val="32"/>
          <w:szCs w:val="32"/>
        </w:rPr>
        <w:t>……………………3</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一、交通运输局2022年预算收支总表…………………………3</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二、交通运输局2022年预算收入总表…………………………4</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三、交通运输局2022年预算支出总表………………………4</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四、交通运输局2022年财政拨款收支总表……………………5</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五、交通运输局2022年一般公共预算支出预算表…………5</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六、交通运输局2022年一般公共预算安排基本支出分经济科目表…………………………………………………………………6</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七、交通运输局2022年政府性基金预算收入预算表…………6</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八、交通运输局2022年政府性基金预算支出预算表…………6</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九交通运输局2022年国有资本经营预算收支预算表………7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十、交通运输局2022年“三公”经费支出预算表……………7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十一、交通运输局2022年机关运行经费预算财政拨款情况表…………………………………………………………………7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w:t>
      </w:r>
      <w:r>
        <w:rPr>
          <w:rFonts w:hint="eastAsia" w:ascii="方正黑体简体" w:hAnsi="方正黑体简体" w:eastAsia="方正黑体简体" w:cs="方正黑体简体"/>
          <w:sz w:val="32"/>
          <w:szCs w:val="32"/>
        </w:rPr>
        <w:t>第三部分  2022年</w:t>
      </w:r>
      <w:r>
        <w:rPr>
          <w:rFonts w:hint="eastAsia" w:ascii="方正仿宋简体" w:hAnsi="方正仿宋简体" w:eastAsia="方正仿宋简体" w:cs="方正仿宋简体"/>
          <w:sz w:val="32"/>
          <w:szCs w:val="32"/>
        </w:rPr>
        <w:t>交通运输局</w:t>
      </w:r>
      <w:r>
        <w:rPr>
          <w:rFonts w:hint="eastAsia" w:ascii="方正黑体简体" w:hAnsi="方正黑体简体" w:eastAsia="方正黑体简体" w:cs="方正黑体简体"/>
          <w:sz w:val="32"/>
          <w:szCs w:val="32"/>
        </w:rPr>
        <w:t>预算情况说明</w:t>
      </w:r>
      <w:r>
        <w:rPr>
          <w:rFonts w:hint="eastAsia" w:ascii="方正仿宋简体" w:hAnsi="方正仿宋简体" w:eastAsia="方正仿宋简体" w:cs="方正仿宋简体"/>
          <w:sz w:val="32"/>
          <w:szCs w:val="32"/>
        </w:rPr>
        <w:t>………………8</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一、2022年度交通运输局预算数据变动情况及原因………………8</w:t>
      </w:r>
    </w:p>
    <w:p>
      <w:p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二、“三公”经费增减变动原因说明…………………………9</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机关运行经费增减变动原因说明………………………9</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政府采购情况……………………………………………10</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绩效管理情况……………………………………………10</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国有资产占有使用情况…………………………………10</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其他说明…………………………………………………10</w:t>
      </w:r>
    </w:p>
    <w:p>
      <w:pPr>
        <w:numPr>
          <w:ilvl w:val="0"/>
          <w:numId w:val="2"/>
        </w:num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政府购买服务指导性目录……………………………10</w:t>
      </w:r>
    </w:p>
    <w:p>
      <w:pPr>
        <w:numPr>
          <w:ilvl w:val="0"/>
          <w:numId w:val="2"/>
        </w:num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其他……………………………………………………10</w:t>
      </w: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第四部分 名词解释</w:t>
      </w:r>
      <w:r>
        <w:rPr>
          <w:rFonts w:hint="eastAsia" w:ascii="方正仿宋简体" w:hAnsi="方正仿宋简体" w:eastAsia="方正仿宋简体" w:cs="方正仿宋简体"/>
          <w:sz w:val="32"/>
          <w:szCs w:val="32"/>
        </w:rPr>
        <w:t>……………………………………………11</w:t>
      </w: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numPr>
          <w:ilvl w:val="0"/>
          <w:numId w:val="3"/>
        </w:numPr>
        <w:spacing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 xml:space="preserve"> 概况</w:t>
      </w:r>
    </w:p>
    <w:p>
      <w:pPr>
        <w:spacing w:line="600" w:lineRule="exact"/>
        <w:rPr>
          <w:rFonts w:ascii="方正黑体简体" w:hAnsi="方正黑体简体" w:eastAsia="方正黑体简体" w:cs="方正黑体简体"/>
          <w:sz w:val="32"/>
          <w:szCs w:val="32"/>
        </w:rPr>
      </w:pPr>
    </w:p>
    <w:p>
      <w:pPr>
        <w:numPr>
          <w:ilvl w:val="0"/>
          <w:numId w:val="4"/>
        </w:numPr>
        <w:spacing w:afterLines="100"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单位职责</w:t>
      </w:r>
    </w:p>
    <w:p>
      <w:pPr>
        <w:pStyle w:val="7"/>
        <w:spacing w:line="600" w:lineRule="exact"/>
        <w:ind w:left="420" w:firstLine="640"/>
        <w:rPr>
          <w:rFonts w:ascii="仿宋" w:hAnsi="仿宋" w:eastAsia="仿宋" w:cs="仿宋"/>
          <w:sz w:val="32"/>
          <w:szCs w:val="32"/>
        </w:rPr>
      </w:pPr>
      <w:r>
        <w:rPr>
          <w:rFonts w:hint="eastAsia" w:ascii="仿宋_GB2312" w:eastAsia="仿宋_GB2312"/>
          <w:sz w:val="32"/>
          <w:szCs w:val="32"/>
        </w:rPr>
        <w:t>长治市潞城区交通运输局是政府交通运输工作的组成部门，为正科级建制，</w:t>
      </w:r>
      <w:r>
        <w:rPr>
          <w:rFonts w:hint="eastAsia" w:ascii="仿宋" w:hAnsi="仿宋" w:eastAsia="仿宋"/>
          <w:sz w:val="32"/>
          <w:szCs w:val="32"/>
        </w:rPr>
        <w:t>承担路政、道路运输、城市客运等方面的行政监督、行政许可、行政裁决等职能。</w:t>
      </w:r>
    </w:p>
    <w:p>
      <w:pPr>
        <w:numPr>
          <w:ilvl w:val="0"/>
          <w:numId w:val="4"/>
        </w:numPr>
        <w:spacing w:afterLines="100"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机构设置情况</w:t>
      </w:r>
    </w:p>
    <w:p>
      <w:pPr>
        <w:tabs>
          <w:tab w:val="left" w:pos="645"/>
        </w:tabs>
        <w:spacing w:before="100" w:beforeAutospacing="1" w:after="100" w:afterAutospacing="1" w:line="360" w:lineRule="auto"/>
        <w:ind w:firstLine="640" w:firstLineChars="200"/>
        <w:rPr>
          <w:rFonts w:ascii="仿宋_GB2312" w:hAnsi="仿宋_GB2312" w:eastAsia="仿宋_GB2312" w:cs="仿宋_GB2312"/>
          <w:b/>
          <w:bCs/>
          <w:sz w:val="32"/>
          <w:szCs w:val="32"/>
        </w:rPr>
      </w:pPr>
      <w:r>
        <w:rPr>
          <w:rFonts w:hint="eastAsia" w:ascii="仿宋_GB2312" w:eastAsia="仿宋_GB2312"/>
          <w:sz w:val="32"/>
          <w:szCs w:val="32"/>
        </w:rPr>
        <w:t>长治市潞城区交通运输局内设机构有：办公室、财务股、</w:t>
      </w:r>
      <w:r>
        <w:rPr>
          <w:rFonts w:hint="eastAsia" w:ascii="仿宋" w:hAnsi="仿宋" w:eastAsia="仿宋"/>
          <w:sz w:val="32"/>
          <w:szCs w:val="32"/>
        </w:rPr>
        <w:t>综合运输股、交通战备办公室</w:t>
      </w:r>
      <w:r>
        <w:rPr>
          <w:rFonts w:hint="eastAsia" w:ascii="仿宋_GB2312" w:eastAsia="仿宋_GB2312"/>
          <w:sz w:val="32"/>
          <w:szCs w:val="32"/>
        </w:rPr>
        <w:t>、公路股。2022年局行政编制9人，实有9人；离退休人员实有数行政人员9人。</w:t>
      </w:r>
    </w:p>
    <w:p>
      <w:pPr>
        <w:numPr>
          <w:ilvl w:val="0"/>
          <w:numId w:val="3"/>
        </w:numPr>
        <w:spacing w:afterLines="100"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2022年度单位预算报表</w:t>
      </w:r>
    </w:p>
    <w:p>
      <w:pPr>
        <w:numPr>
          <w:ilvl w:val="0"/>
          <w:numId w:val="5"/>
        </w:num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交通运输局2022年预算收支总表</w:t>
      </w:r>
    </w:p>
    <w:p>
      <w:pPr>
        <w:spacing w:line="600" w:lineRule="exac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drawing>
          <wp:anchor distT="0" distB="0" distL="114300" distR="114300" simplePos="0" relativeHeight="251662336" behindDoc="0" locked="0" layoutInCell="1" allowOverlap="1">
            <wp:simplePos x="0" y="0"/>
            <wp:positionH relativeFrom="column">
              <wp:posOffset>1313815</wp:posOffset>
            </wp:positionH>
            <wp:positionV relativeFrom="paragraph">
              <wp:posOffset>93345</wp:posOffset>
            </wp:positionV>
            <wp:extent cx="2576830" cy="3499485"/>
            <wp:effectExtent l="19050" t="0" r="0" b="0"/>
            <wp:wrapSquare wrapText="bothSides"/>
            <wp:docPr id="5" name="图片 2" descr="C:\Users\Administrator\Documents\WeChat Files\wxid_7cp7z6fe0s4q21\FileStorage\Temp\16801623123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C:\Users\Administrator\Documents\WeChat Files\wxid_7cp7z6fe0s4q21\FileStorage\Temp\1680162312309.png"/>
                    <pic:cNvPicPr>
                      <a:picLocks noChangeAspect="1" noChangeArrowheads="1"/>
                    </pic:cNvPicPr>
                  </pic:nvPicPr>
                  <pic:blipFill>
                    <a:blip r:embed="rId5" cstate="print"/>
                    <a:srcRect/>
                    <a:stretch>
                      <a:fillRect/>
                    </a:stretch>
                  </pic:blipFill>
                  <pic:spPr>
                    <a:xfrm>
                      <a:off x="0" y="0"/>
                      <a:ext cx="2576830" cy="3499485"/>
                    </a:xfrm>
                    <a:prstGeom prst="rect">
                      <a:avLst/>
                    </a:prstGeom>
                    <a:noFill/>
                    <a:ln w="9525">
                      <a:noFill/>
                      <a:miter lim="800000"/>
                      <a:headEnd/>
                      <a:tailEnd/>
                    </a:ln>
                  </pic:spPr>
                </pic:pic>
              </a:graphicData>
            </a:graphic>
          </wp:anchor>
        </w:drawing>
      </w:r>
    </w:p>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二、交通运输局2022年预算收入总表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59264" behindDoc="0" locked="0" layoutInCell="1" allowOverlap="1">
            <wp:simplePos x="0" y="0"/>
            <wp:positionH relativeFrom="column">
              <wp:posOffset>422275</wp:posOffset>
            </wp:positionH>
            <wp:positionV relativeFrom="paragraph">
              <wp:posOffset>80645</wp:posOffset>
            </wp:positionV>
            <wp:extent cx="4439920" cy="2697480"/>
            <wp:effectExtent l="19050" t="0" r="0" b="0"/>
            <wp:wrapSquare wrapText="bothSides"/>
            <wp:docPr id="9" name="图片 4" descr="C:\Users\Administrator\Documents\WeChat Files\wxid_7cp7z6fe0s4q21\FileStorage\Temp\168014687136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C:\Users\Administrator\Documents\WeChat Files\wxid_7cp7z6fe0s4q21\FileStorage\Temp\1680146871366(1).png"/>
                    <pic:cNvPicPr>
                      <a:picLocks noChangeAspect="1" noChangeArrowheads="1"/>
                    </pic:cNvPicPr>
                  </pic:nvPicPr>
                  <pic:blipFill>
                    <a:blip r:embed="rId6" cstate="print"/>
                    <a:srcRect/>
                    <a:stretch>
                      <a:fillRect/>
                    </a:stretch>
                  </pic:blipFill>
                  <pic:spPr>
                    <a:xfrm>
                      <a:off x="0" y="0"/>
                      <a:ext cx="4439920" cy="269748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三、交通运输局2022年预算支出总表</w:t>
      </w: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0288" behindDoc="0" locked="0" layoutInCell="1" allowOverlap="1">
            <wp:simplePos x="0" y="0"/>
            <wp:positionH relativeFrom="column">
              <wp:posOffset>422275</wp:posOffset>
            </wp:positionH>
            <wp:positionV relativeFrom="paragraph">
              <wp:posOffset>294640</wp:posOffset>
            </wp:positionV>
            <wp:extent cx="4344670" cy="3826510"/>
            <wp:effectExtent l="19050" t="0" r="0" b="0"/>
            <wp:wrapSquare wrapText="bothSides"/>
            <wp:docPr id="2" name="图片 1" descr="C:\Users\Administrator\Documents\WeChat Files\wxid_7cp7z6fe0s4q21\FileStorage\Temp\1680162218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istrator\Documents\WeChat Files\wxid_7cp7z6fe0s4q21\FileStorage\Temp\1680162218091.png"/>
                    <pic:cNvPicPr>
                      <a:picLocks noChangeAspect="1" noChangeArrowheads="1"/>
                    </pic:cNvPicPr>
                  </pic:nvPicPr>
                  <pic:blipFill>
                    <a:blip r:embed="rId7" cstate="print"/>
                    <a:srcRect/>
                    <a:stretch>
                      <a:fillRect/>
                    </a:stretch>
                  </pic:blipFill>
                  <pic:spPr>
                    <a:xfrm>
                      <a:off x="0" y="0"/>
                      <a:ext cx="4344670" cy="3826510"/>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四、交通运输局2022年财政拨款收支总表</w:t>
      </w: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1312" behindDoc="0" locked="0" layoutInCell="1" allowOverlap="1">
            <wp:simplePos x="0" y="0"/>
            <wp:positionH relativeFrom="column">
              <wp:posOffset>422275</wp:posOffset>
            </wp:positionH>
            <wp:positionV relativeFrom="paragraph">
              <wp:posOffset>120015</wp:posOffset>
            </wp:positionV>
            <wp:extent cx="4987290" cy="3488055"/>
            <wp:effectExtent l="19050" t="0" r="3810" b="0"/>
            <wp:wrapSquare wrapText="bothSides"/>
            <wp:docPr id="3" name="图片 3" descr="C:\Users\Administrator\Documents\WeChat Files\wxid_7cp7z6fe0s4q21\FileStorage\Temp\16801465539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ocuments\WeChat Files\wxid_7cp7z6fe0s4q21\FileStorage\Temp\1680146553922.png"/>
                    <pic:cNvPicPr>
                      <a:picLocks noChangeAspect="1" noChangeArrowheads="1"/>
                    </pic:cNvPicPr>
                  </pic:nvPicPr>
                  <pic:blipFill>
                    <a:blip r:embed="rId8" cstate="print"/>
                    <a:srcRect/>
                    <a:stretch>
                      <a:fillRect/>
                    </a:stretch>
                  </pic:blipFill>
                  <pic:spPr>
                    <a:xfrm>
                      <a:off x="0" y="0"/>
                      <a:ext cx="4987290" cy="3488055"/>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五、交通运输局2022年一般公共预算支出预算表</w:t>
      </w: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3360" behindDoc="0" locked="0" layoutInCell="1" allowOverlap="1">
            <wp:simplePos x="0" y="0"/>
            <wp:positionH relativeFrom="column">
              <wp:posOffset>783590</wp:posOffset>
            </wp:positionH>
            <wp:positionV relativeFrom="paragraph">
              <wp:posOffset>139700</wp:posOffset>
            </wp:positionV>
            <wp:extent cx="4360545" cy="3821430"/>
            <wp:effectExtent l="19050" t="0" r="1905" b="0"/>
            <wp:wrapSquare wrapText="bothSides"/>
            <wp:docPr id="8" name="图片 3" descr="C:\Users\Administrator\Documents\WeChat Files\wxid_7cp7z6fe0s4q21\FileStorage\Temp\16801624488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C:\Users\Administrator\Documents\WeChat Files\wxid_7cp7z6fe0s4q21\FileStorage\Temp\1680162448832.png"/>
                    <pic:cNvPicPr>
                      <a:picLocks noChangeAspect="1" noChangeArrowheads="1"/>
                    </pic:cNvPicPr>
                  </pic:nvPicPr>
                  <pic:blipFill>
                    <a:blip r:embed="rId9" cstate="print"/>
                    <a:srcRect/>
                    <a:stretch>
                      <a:fillRect/>
                    </a:stretch>
                  </pic:blipFill>
                  <pic:spPr>
                    <a:xfrm>
                      <a:off x="0" y="0"/>
                      <a:ext cx="4360545" cy="3821430"/>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4384" behindDoc="0" locked="0" layoutInCell="1" allowOverlap="1">
            <wp:simplePos x="0" y="0"/>
            <wp:positionH relativeFrom="column">
              <wp:posOffset>422275</wp:posOffset>
            </wp:positionH>
            <wp:positionV relativeFrom="paragraph">
              <wp:posOffset>964565</wp:posOffset>
            </wp:positionV>
            <wp:extent cx="4766945" cy="2573655"/>
            <wp:effectExtent l="19050" t="0" r="0" b="0"/>
            <wp:wrapSquare wrapText="bothSides"/>
            <wp:docPr id="12" name="图片 4" descr="C:\Users\Administrator\Documents\WeChat Files\wxid_7cp7z6fe0s4q21\FileStorage\Temp\16801625224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C:\Users\Administrator\Documents\WeChat Files\wxid_7cp7z6fe0s4q21\FileStorage\Temp\1680162522415.png"/>
                    <pic:cNvPicPr>
                      <a:picLocks noChangeAspect="1" noChangeArrowheads="1"/>
                    </pic:cNvPicPr>
                  </pic:nvPicPr>
                  <pic:blipFill>
                    <a:blip r:embed="rId10" cstate="print"/>
                    <a:srcRect/>
                    <a:stretch>
                      <a:fillRect/>
                    </a:stretch>
                  </pic:blipFill>
                  <pic:spPr>
                    <a:xfrm>
                      <a:off x="0" y="0"/>
                      <a:ext cx="4766945" cy="2573655"/>
                    </a:xfrm>
                    <a:prstGeom prst="rect">
                      <a:avLst/>
                    </a:prstGeom>
                    <a:noFill/>
                    <a:ln w="9525">
                      <a:noFill/>
                      <a:miter lim="800000"/>
                      <a:headEnd/>
                      <a:tailEnd/>
                    </a:ln>
                  </pic:spPr>
                </pic:pic>
              </a:graphicData>
            </a:graphic>
          </wp:anchor>
        </w:drawing>
      </w:r>
      <w:r>
        <w:rPr>
          <w:rFonts w:hint="eastAsia" w:ascii="方正仿宋简体" w:hAnsi="方正仿宋简体" w:eastAsia="方正仿宋简体" w:cs="方正仿宋简体"/>
          <w:sz w:val="32"/>
          <w:szCs w:val="32"/>
        </w:rPr>
        <w:t>六、交通运输局2022年一般公共预算安排基本支出分经济科目表</w:t>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七、交通运输局2022年政府性基金预算收入预算表</w:t>
      </w: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5408" behindDoc="0" locked="0" layoutInCell="1" allowOverlap="1">
            <wp:simplePos x="0" y="0"/>
            <wp:positionH relativeFrom="column">
              <wp:posOffset>350520</wp:posOffset>
            </wp:positionH>
            <wp:positionV relativeFrom="paragraph">
              <wp:posOffset>179070</wp:posOffset>
            </wp:positionV>
            <wp:extent cx="5065395" cy="1851025"/>
            <wp:effectExtent l="19050" t="0" r="1905" b="0"/>
            <wp:wrapSquare wrapText="bothSides"/>
            <wp:docPr id="14" name="图片 5" descr="C:\Users\Administrator\Documents\WeChat Files\wxid_7cp7z6fe0s4q21\FileStorage\Temp\16801626346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C:\Users\Administrator\Documents\WeChat Files\wxid_7cp7z6fe0s4q21\FileStorage\Temp\1680162634683.png"/>
                    <pic:cNvPicPr>
                      <a:picLocks noChangeAspect="1" noChangeArrowheads="1"/>
                    </pic:cNvPicPr>
                  </pic:nvPicPr>
                  <pic:blipFill>
                    <a:blip r:embed="rId11" cstate="print"/>
                    <a:srcRect/>
                    <a:stretch>
                      <a:fillRect/>
                    </a:stretch>
                  </pic:blipFill>
                  <pic:spPr>
                    <a:xfrm>
                      <a:off x="0" y="0"/>
                      <a:ext cx="5065395" cy="1851025"/>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八、交通运输局2022年政府性基金预算支出预算表</w:t>
      </w: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6432" behindDoc="0" locked="0" layoutInCell="1" allowOverlap="1">
            <wp:simplePos x="0" y="0"/>
            <wp:positionH relativeFrom="column">
              <wp:posOffset>546100</wp:posOffset>
            </wp:positionH>
            <wp:positionV relativeFrom="paragraph">
              <wp:posOffset>99060</wp:posOffset>
            </wp:positionV>
            <wp:extent cx="4518660" cy="1501140"/>
            <wp:effectExtent l="19050" t="0" r="0" b="0"/>
            <wp:wrapSquare wrapText="bothSides"/>
            <wp:docPr id="16" name="图片 6" descr="C:\Users\Administrator\Documents\WeChat Files\wxid_7cp7z6fe0s4q21\FileStorage\Temp\1680162715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descr="C:\Users\Administrator\Documents\WeChat Files\wxid_7cp7z6fe0s4q21\FileStorage\Temp\1680162715141.png"/>
                    <pic:cNvPicPr>
                      <a:picLocks noChangeAspect="1" noChangeArrowheads="1"/>
                    </pic:cNvPicPr>
                  </pic:nvPicPr>
                  <pic:blipFill>
                    <a:blip r:embed="rId12" cstate="print"/>
                    <a:srcRect/>
                    <a:stretch>
                      <a:fillRect/>
                    </a:stretch>
                  </pic:blipFill>
                  <pic:spPr>
                    <a:xfrm>
                      <a:off x="0" y="0"/>
                      <a:ext cx="4518660" cy="1501140"/>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九、交通运输局2022年国有资本经营预算收支预算表</w:t>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7456" behindDoc="0" locked="0" layoutInCell="1" allowOverlap="1">
            <wp:simplePos x="0" y="0"/>
            <wp:positionH relativeFrom="column">
              <wp:posOffset>422275</wp:posOffset>
            </wp:positionH>
            <wp:positionV relativeFrom="paragraph">
              <wp:posOffset>-774065</wp:posOffset>
            </wp:positionV>
            <wp:extent cx="5352415" cy="1083945"/>
            <wp:effectExtent l="19050" t="0" r="494" b="0"/>
            <wp:wrapSquare wrapText="bothSides"/>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noChangeArrowheads="1"/>
                    </pic:cNvPicPr>
                  </pic:nvPicPr>
                  <pic:blipFill>
                    <a:blip r:embed="rId13" cstate="print"/>
                    <a:srcRect/>
                    <a:stretch>
                      <a:fillRect/>
                    </a:stretch>
                  </pic:blipFill>
                  <pic:spPr>
                    <a:xfrm>
                      <a:off x="0" y="0"/>
                      <a:ext cx="5352556" cy="1083734"/>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十、交通运输局2022年“三公”经费支出预算表</w:t>
      </w:r>
    </w:p>
    <w:p>
      <w:pPr>
        <w:spacing w:line="600" w:lineRule="exact"/>
        <w:ind w:firstLine="640" w:firstLineChars="200"/>
        <w:rPr>
          <w:rFonts w:eastAsia="方正仿宋简体" w:cs="方正仿宋简体"/>
          <w:sz w:val="32"/>
          <w:szCs w:val="32"/>
        </w:rPr>
      </w:pPr>
      <w:r>
        <w:rPr>
          <w:rFonts w:eastAsia="方正仿宋简体" w:cs="方正仿宋简体"/>
          <w:sz w:val="32"/>
          <w:szCs w:val="32"/>
        </w:rPr>
        <w:drawing>
          <wp:anchor distT="0" distB="0" distL="114300" distR="114300" simplePos="0" relativeHeight="251668480" behindDoc="0" locked="0" layoutInCell="1" allowOverlap="1">
            <wp:simplePos x="0" y="0"/>
            <wp:positionH relativeFrom="column">
              <wp:posOffset>1122045</wp:posOffset>
            </wp:positionH>
            <wp:positionV relativeFrom="paragraph">
              <wp:posOffset>111760</wp:posOffset>
            </wp:positionV>
            <wp:extent cx="3943350" cy="2032000"/>
            <wp:effectExtent l="19050" t="0" r="0" b="0"/>
            <wp:wrapSquare wrapText="bothSides"/>
            <wp:docPr id="19" name="图片 10" descr="C:\Users\Administrator\Documents\WeChat Files\wxid_7cp7z6fe0s4q21\FileStorage\Temp\1680162864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C:\Users\Administrator\Documents\WeChat Files\wxid_7cp7z6fe0s4q21\FileStorage\Temp\1680162864243.png"/>
                    <pic:cNvPicPr>
                      <a:picLocks noChangeAspect="1" noChangeArrowheads="1"/>
                    </pic:cNvPicPr>
                  </pic:nvPicPr>
                  <pic:blipFill>
                    <a:blip r:embed="rId14" cstate="print"/>
                    <a:srcRect/>
                    <a:stretch>
                      <a:fillRect/>
                    </a:stretch>
                  </pic:blipFill>
                  <pic:spPr>
                    <a:xfrm>
                      <a:off x="0" y="0"/>
                      <a:ext cx="3943350" cy="2032000"/>
                    </a:xfrm>
                    <a:prstGeom prst="rect">
                      <a:avLst/>
                    </a:prstGeom>
                    <a:noFill/>
                    <a:ln w="9525">
                      <a:noFill/>
                      <a:miter lim="800000"/>
                      <a:headEnd/>
                      <a:tailEnd/>
                    </a:ln>
                  </pic:spPr>
                </pic:pic>
              </a:graphicData>
            </a:graphic>
          </wp:anchor>
        </w:drawing>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十一、交通运输局2022年机关运行经费预算财政拨款情况表</w:t>
      </w:r>
    </w:p>
    <w:p>
      <w:pPr>
        <w:spacing w:line="600" w:lineRule="exact"/>
        <w:ind w:left="210" w:leftChars="100"/>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drawing>
          <wp:anchor distT="0" distB="0" distL="114300" distR="114300" simplePos="0" relativeHeight="251669504" behindDoc="0" locked="0" layoutInCell="1" allowOverlap="1">
            <wp:simplePos x="0" y="0"/>
            <wp:positionH relativeFrom="column">
              <wp:posOffset>670560</wp:posOffset>
            </wp:positionH>
            <wp:positionV relativeFrom="paragraph">
              <wp:posOffset>323215</wp:posOffset>
            </wp:positionV>
            <wp:extent cx="4902835" cy="1049655"/>
            <wp:effectExtent l="19050" t="0" r="0" b="0"/>
            <wp:wrapSquare wrapText="bothSides"/>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noChangeArrowheads="1"/>
                    </pic:cNvPicPr>
                  </pic:nvPicPr>
                  <pic:blipFill>
                    <a:blip r:embed="rId15" cstate="print"/>
                    <a:srcRect/>
                    <a:stretch>
                      <a:fillRect/>
                    </a:stretch>
                  </pic:blipFill>
                  <pic:spPr>
                    <a:xfrm>
                      <a:off x="0" y="0"/>
                      <a:ext cx="4902835" cy="1049655"/>
                    </a:xfrm>
                    <a:prstGeom prst="rect">
                      <a:avLst/>
                    </a:prstGeom>
                    <a:noFill/>
                    <a:ln w="9525">
                      <a:noFill/>
                      <a:miter lim="800000"/>
                      <a:headEnd/>
                      <a:tailEnd/>
                    </a:ln>
                  </pic:spPr>
                </pic:pic>
              </a:graphicData>
            </a:graphic>
          </wp:anchor>
        </w:drawing>
      </w:r>
    </w:p>
    <w:p>
      <w:pPr>
        <w:spacing w:line="600" w:lineRule="exact"/>
        <w:rPr>
          <w:rFonts w:ascii="方正仿宋简体" w:hAnsi="方正仿宋简体" w:eastAsia="方正仿宋简体" w:cs="方正仿宋简体"/>
          <w:sz w:val="32"/>
          <w:szCs w:val="32"/>
        </w:rPr>
      </w:pPr>
    </w:p>
    <w:p>
      <w:pPr>
        <w:spacing w:line="600" w:lineRule="exact"/>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   2022年度部门(单位)预算情况说明</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spacing w:before="100" w:beforeAutospacing="1" w:after="100" w:afterAutospacing="1" w:line="360" w:lineRule="auto"/>
        <w:ind w:firstLine="640" w:firstLineChars="200"/>
        <w:rPr>
          <w:rFonts w:ascii="仿宋_GB2312" w:hAnsi="仿宋_GB2312" w:eastAsia="仿宋_GB2312" w:cs="仿宋_GB2312"/>
          <w:sz w:val="32"/>
          <w:szCs w:val="32"/>
        </w:rPr>
      </w:pPr>
      <w:r>
        <w:rPr>
          <w:rFonts w:ascii="仿宋" w:hAnsi="仿宋" w:eastAsia="仿宋" w:cs="方正仿宋简体"/>
          <w:sz w:val="32"/>
          <w:szCs w:val="32"/>
        </w:rPr>
        <w:t>2022</w:t>
      </w:r>
      <w:r>
        <w:rPr>
          <w:rFonts w:hint="eastAsia" w:ascii="仿宋" w:hAnsi="仿宋" w:eastAsia="仿宋" w:cs="方正仿宋简体"/>
          <w:sz w:val="32"/>
          <w:szCs w:val="32"/>
        </w:rPr>
        <w:t>年</w:t>
      </w:r>
      <w:r>
        <w:rPr>
          <w:rFonts w:hint="eastAsia" w:ascii="仿宋" w:hAnsi="仿宋" w:eastAsia="仿宋" w:cs="仿宋_GB2312"/>
          <w:sz w:val="32"/>
          <w:szCs w:val="32"/>
        </w:rPr>
        <w:t>预算</w:t>
      </w:r>
      <w:r>
        <w:rPr>
          <w:rFonts w:hint="eastAsia" w:ascii="仿宋_GB2312" w:hAnsi="仿宋_GB2312" w:eastAsia="仿宋_GB2312" w:cs="仿宋_GB2312"/>
          <w:sz w:val="32"/>
          <w:szCs w:val="32"/>
        </w:rPr>
        <w:t>为9444.92万元，去年预算数为8250.13万元，比去年增加1194.79万元，主要因为2022年预算中</w:t>
      </w:r>
      <w:r>
        <w:rPr>
          <w:rFonts w:hint="eastAsia" w:ascii="仿宋_GB2312" w:hAnsi="楷体" w:eastAsia="仿宋_GB2312"/>
          <w:sz w:val="32"/>
          <w:szCs w:val="32"/>
        </w:rPr>
        <w:t>公路改造工程项目增加。</w:t>
      </w:r>
    </w:p>
    <w:p>
      <w:pPr>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2022年一般公共服务预算3777.71万元，比去年增加</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1927.58万元。政府性基金预算资金为5667.21万元。其中，（1）工资福利支出114.61万元，比上年增加12.02%，原因为工资增加；（2）商品和服务支出12.28万元，比去年减少1.8万元，原因为减少了公务用车维护费；（3）对个人和家庭补助支出3.82万元，为全年独生子女费和遗属补助款；（4）各类项目总支出1662.41万元，其中，行政运行科目下0万元，公路改建、养护及其他公路水路运输支出科目下为9314.21万元，包括：</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治超经费10万元。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西村-史回段路面大中修工程300万元。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清欠临时人员养老保险95万元。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29辆纯电巡游出租车汽车相关费用40.7万元。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城内免费公交运营费298.2万元。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70岁老人免费乘车及冷线补贴50万元。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利达公交亏损补贴900万元。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公路养护经费300万元。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办公经费（含临聘人员工资）30万元。</w:t>
      </w:r>
    </w:p>
    <w:p>
      <w:pPr>
        <w:widowControl/>
        <w:numPr>
          <w:ilvl w:val="0"/>
          <w:numId w:val="6"/>
        </w:numPr>
        <w:adjustRightInd w:val="0"/>
        <w:snapToGrid w:val="0"/>
        <w:spacing w:before="100" w:beforeAutospacing="1" w:after="100" w:afterAutospacing="1"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驻村工作队员补贴1.6万元。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客运公交候车厅维护费30万元。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事业人员职业年金14.5万元。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国三车淘汰场地租赁费3万元。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PPP项目政府支出责任及相关费用2692.21万元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道路运输达标车辆检测费9万元。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太行一号旅游公路地方配套1965万元。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四好农村路地方配套资金2500万元。</w:t>
      </w:r>
    </w:p>
    <w:p>
      <w:pPr>
        <w:widowControl/>
        <w:numPr>
          <w:ilvl w:val="0"/>
          <w:numId w:val="6"/>
        </w:numPr>
        <w:adjustRightInd w:val="0"/>
        <w:snapToGrid w:val="0"/>
        <w:spacing w:before="100" w:beforeAutospacing="1" w:after="100" w:afterAutospacing="1"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2020年养护提质工程75万元。</w:t>
      </w:r>
    </w:p>
    <w:p>
      <w:pPr>
        <w:widowControl/>
        <w:adjustRightInd w:val="0"/>
        <w:snapToGrid w:val="0"/>
        <w:spacing w:before="100" w:beforeAutospacing="1" w:after="100" w:afterAutospacing="1" w:line="360" w:lineRule="auto"/>
        <w:ind w:left="640"/>
        <w:rPr>
          <w:rFonts w:ascii="仿宋_GB2312" w:hAnsi="仿宋_GB2312" w:eastAsia="仿宋_GB2312" w:cs="仿宋_GB2312"/>
          <w:sz w:val="32"/>
          <w:szCs w:val="32"/>
        </w:rPr>
      </w:pPr>
      <w:r>
        <w:rPr>
          <w:rFonts w:hint="eastAsia" w:ascii="方正黑体简体" w:hAnsi="方正黑体简体" w:eastAsia="方正黑体简体" w:cs="方正黑体简体"/>
          <w:sz w:val="32"/>
          <w:szCs w:val="32"/>
        </w:rPr>
        <w:t>二、“三公”经费增减变动原因说明</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一般公共预算安排的“三公”经费预算2万元，比2021年减少(增加)0万元。其中:因公出国(境)费用0万元，比上年减少(增加)0万元;公务接待费0万元，比上年减少(增加)0万元，公务用车运行维护费2万元，比上年减少(增加)0万元;公务用车购置费0元，比上年减少(增加)0万元。</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交通运输局2022年行政机关运行经费财政拨款预算12.28万元，比2021年预算减少1.8万元，下降(增长)12.8%,增加主要是约减经费导致。</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2022年政府采购预算总额49万元，其中:政府采购货物预算4万元、政府采购服务预算45万元。</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2022年实行绩效目标管理的项目18个，涉及一般公共预算当年拨款3647万元。</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2、绩效目标情况(鼓励附表说明)</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我局有2辆执法执勤车。</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2、房屋情况;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由于机构改革，我局原办公楼由机关后勤中心收回，我局搬迁至原运管所院内办公。</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3、其他国有资产占有使用情况。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其他国有资产为4581261.32元</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七、其他说明</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(一)政府购买服务指导性目录</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(二)其他</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afterLines="100"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各部门使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auto"/>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宋黑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- 12 -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DB4860D3"/>
    <w:multiLevelType w:val="singleLevel"/>
    <w:tmpl w:val="DB4860D3"/>
    <w:lvl w:ilvl="0" w:tentative="0">
      <w:start w:val="1"/>
      <w:numFmt w:val="decimal"/>
      <w:suff w:val="nothing"/>
      <w:lvlText w:val="%1、"/>
      <w:lvlJc w:val="left"/>
    </w:lvl>
  </w:abstractNum>
  <w:abstractNum w:abstractNumId="3">
    <w:nsid w:val="E8621750"/>
    <w:multiLevelType w:val="singleLevel"/>
    <w:tmpl w:val="E8621750"/>
    <w:lvl w:ilvl="0" w:tentative="0">
      <w:start w:val="1"/>
      <w:numFmt w:val="chineseCounting"/>
      <w:suff w:val="space"/>
      <w:lvlText w:val="第%1部分"/>
      <w:lvlJc w:val="left"/>
      <w:rPr>
        <w:rFonts w:hint="eastAsia"/>
      </w:rPr>
    </w:lvl>
  </w:abstractNum>
  <w:abstractNum w:abstractNumId="4">
    <w:nsid w:val="1708C4FE"/>
    <w:multiLevelType w:val="singleLevel"/>
    <w:tmpl w:val="1708C4FE"/>
    <w:lvl w:ilvl="0" w:tentative="0">
      <w:start w:val="1"/>
      <w:numFmt w:val="chineseCounting"/>
      <w:suff w:val="nothing"/>
      <w:lvlText w:val="%1、"/>
      <w:lvlJc w:val="left"/>
      <w:rPr>
        <w:rFonts w:hint="eastAsia"/>
      </w:rPr>
    </w:lvl>
  </w:abstractNum>
  <w:abstractNum w:abstractNumId="5">
    <w:nsid w:val="2E8CF568"/>
    <w:multiLevelType w:val="singleLevel"/>
    <w:tmpl w:val="2E8CF568"/>
    <w:lvl w:ilvl="0" w:tentative="0">
      <w:start w:val="1"/>
      <w:numFmt w:val="chineseCounting"/>
      <w:suff w:val="nothing"/>
      <w:lvlText w:val="%1、"/>
      <w:lvlJc w:val="left"/>
      <w:pPr>
        <w:ind w:left="320" w:firstLine="0"/>
      </w:pPr>
      <w:rPr>
        <w:rFonts w:hint="eastAsia"/>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VkMGY0ZDgyODgyOWI0YWYyM2JhZDMwZWRlNDU2Y2YifQ=="/>
  </w:docVars>
  <w:rsids>
    <w:rsidRoot w:val="0FDB0A9B"/>
    <w:rsid w:val="00060F0E"/>
    <w:rsid w:val="00097091"/>
    <w:rsid w:val="0012738C"/>
    <w:rsid w:val="001E4CF4"/>
    <w:rsid w:val="0023097C"/>
    <w:rsid w:val="002330F2"/>
    <w:rsid w:val="00343308"/>
    <w:rsid w:val="00447810"/>
    <w:rsid w:val="00457B3C"/>
    <w:rsid w:val="00483CB4"/>
    <w:rsid w:val="00516519"/>
    <w:rsid w:val="00536750"/>
    <w:rsid w:val="00720237"/>
    <w:rsid w:val="0076507F"/>
    <w:rsid w:val="00790C56"/>
    <w:rsid w:val="007F46B6"/>
    <w:rsid w:val="00800737"/>
    <w:rsid w:val="008965CE"/>
    <w:rsid w:val="00925986"/>
    <w:rsid w:val="009456C6"/>
    <w:rsid w:val="00971146"/>
    <w:rsid w:val="00A450DB"/>
    <w:rsid w:val="00A548BF"/>
    <w:rsid w:val="00AE2ED0"/>
    <w:rsid w:val="00B32EA1"/>
    <w:rsid w:val="00CE1D7D"/>
    <w:rsid w:val="00CF4D38"/>
    <w:rsid w:val="00EA6658"/>
    <w:rsid w:val="00F50E59"/>
    <w:rsid w:val="0FDB0A9B"/>
    <w:rsid w:val="47F80CA5"/>
    <w:rsid w:val="5E8379C4"/>
    <w:rsid w:val="607C4DD6"/>
    <w:rsid w:val="6B0548C4"/>
    <w:rsid w:val="78037C82"/>
    <w:rsid w:val="7A78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unhideWhenUsed/>
    <w:uiPriority w:val="99"/>
    <w:pPr>
      <w:ind w:firstLine="420" w:firstLineChars="200"/>
    </w:pPr>
  </w:style>
  <w:style w:type="character" w:customStyle="1" w:styleId="8">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1684B6-5AC6-4B45-B39C-19D6C59965BB}">
  <ds:schemaRefs/>
</ds:datastoreItem>
</file>

<file path=docProps/app.xml><?xml version="1.0" encoding="utf-8"?>
<Properties xmlns="http://schemas.openxmlformats.org/officeDocument/2006/extended-properties" xmlns:vt="http://schemas.openxmlformats.org/officeDocument/2006/docPropsVTypes">
  <Template>Normal</Template>
  <Pages>12</Pages>
  <Words>2972</Words>
  <Characters>3239</Characters>
  <Lines>24</Lines>
  <Paragraphs>6</Paragraphs>
  <TotalTime>140</TotalTime>
  <ScaleCrop>false</ScaleCrop>
  <LinksUpToDate>false</LinksUpToDate>
  <CharactersWithSpaces>3274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2022-02-24T07:54:05Z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